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75A68"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Kenya’s </w:t>
      </w:r>
      <w:proofErr w:type="spellStart"/>
      <w:r w:rsidRPr="00A6728B">
        <w:rPr>
          <w:rFonts w:ascii="Maiandra GD" w:eastAsia="Canva Sans Bold" w:hAnsi="Maiandra GD" w:cs="Canva Sans Bold"/>
          <w:b/>
          <w:bCs/>
          <w:color w:val="000000"/>
          <w:sz w:val="24"/>
          <w:szCs w:val="24"/>
        </w:rPr>
        <w:t>eTIMS</w:t>
      </w:r>
      <w:proofErr w:type="spellEnd"/>
      <w:r w:rsidRPr="00A6728B">
        <w:rPr>
          <w:rFonts w:ascii="Maiandra GD" w:eastAsia="Canva Sans Bold" w:hAnsi="Maiandra GD" w:cs="Canva Sans Bold"/>
          <w:b/>
          <w:bCs/>
          <w:color w:val="000000"/>
          <w:sz w:val="24"/>
          <w:szCs w:val="24"/>
        </w:rPr>
        <w:t xml:space="preserve"> Mandate: What It Changes for SMEs—and Why Bookkeeping Discipline Matters </w:t>
      </w:r>
    </w:p>
    <w:p w14:paraId="12643A33" w14:textId="77777777" w:rsidR="00E379AF" w:rsidRPr="00A6728B" w:rsidRDefault="00CB1406">
      <w:pPr>
        <w:spacing w:before="120" w:after="120" w:line="336" w:lineRule="auto"/>
        <w:rPr>
          <w:rFonts w:ascii="Maiandra GD" w:hAnsi="Maiandra GD"/>
          <w:sz w:val="24"/>
          <w:szCs w:val="24"/>
          <w:u w:val="single"/>
        </w:rPr>
      </w:pPr>
      <w:r w:rsidRPr="00A6728B">
        <w:rPr>
          <w:rFonts w:ascii="Maiandra GD" w:eastAsia="Canva Sans Bold" w:hAnsi="Maiandra GD" w:cs="Canva Sans Bold"/>
          <w:b/>
          <w:bCs/>
          <w:color w:val="000000"/>
          <w:sz w:val="24"/>
          <w:szCs w:val="24"/>
          <w:u w:val="single"/>
        </w:rPr>
        <w:t xml:space="preserve">An objective guide to the legal framework, evidence standards, VAT control, and tax-planning implications under electronic invoicing </w:t>
      </w:r>
    </w:p>
    <w:p w14:paraId="2A1983A1" w14:textId="77777777" w:rsidR="00E379AF" w:rsidRPr="00A6728B" w:rsidRDefault="00CB1406">
      <w:pPr>
        <w:spacing w:before="120" w:after="120" w:line="336" w:lineRule="auto"/>
        <w:rPr>
          <w:rFonts w:ascii="Maiandra GD" w:hAnsi="Maiandra GD"/>
          <w:sz w:val="24"/>
          <w:szCs w:val="24"/>
        </w:rPr>
      </w:pP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is often described as an invoicing system. In practice, it is a shift in how quickly and consistently transaction da</w:t>
      </w:r>
      <w:r w:rsidRPr="00A6728B">
        <w:rPr>
          <w:rFonts w:ascii="Maiandra GD" w:eastAsia="Canva Sans" w:hAnsi="Maiandra GD" w:cs="Canva Sans"/>
          <w:color w:val="000000"/>
          <w:sz w:val="24"/>
          <w:szCs w:val="24"/>
        </w:rPr>
        <w:t xml:space="preserve">ta must be supported by evidence—invoice by invoice, day by day, not reconstructed at month-end. </w:t>
      </w:r>
    </w:p>
    <w:p w14:paraId="2FDB8DCF"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For SME leaders, the key question is no longer only “Can we issue compliant invoices?” but: </w:t>
      </w:r>
      <w:r w:rsidRPr="00A6728B">
        <w:rPr>
          <w:rFonts w:ascii="Maiandra GD" w:eastAsia="Canva Sans Bold" w:hAnsi="Maiandra GD" w:cs="Canva Sans Bold"/>
          <w:b/>
          <w:bCs/>
          <w:color w:val="000000"/>
          <w:sz w:val="24"/>
          <w:szCs w:val="24"/>
        </w:rPr>
        <w:t>Can our records reliably tie together sales, purchases, VAT treatm</w:t>
      </w:r>
      <w:r w:rsidRPr="00A6728B">
        <w:rPr>
          <w:rFonts w:ascii="Maiandra GD" w:eastAsia="Canva Sans Bold" w:hAnsi="Maiandra GD" w:cs="Canva Sans Bold"/>
          <w:b/>
          <w:bCs/>
          <w:color w:val="000000"/>
          <w:sz w:val="24"/>
          <w:szCs w:val="24"/>
        </w:rPr>
        <w:t xml:space="preserve">ent, and payment trails in a way that is complete, consistent, and retrievable?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E379AF" w:rsidRPr="00A6728B" w14:paraId="56433AF7" w14:textId="77777777">
        <w:tblPrEx>
          <w:tblCellMar>
            <w:top w:w="0" w:type="dxa"/>
            <w:bottom w:w="0" w:type="dxa"/>
          </w:tblCellMar>
        </w:tblPrEx>
        <w:tc>
          <w:tcPr>
            <w:tcW w:w="9030" w:type="dxa"/>
            <w:shd w:val="clear" w:color="auto" w:fill="EEF6FF"/>
            <w:tcMar>
              <w:top w:w="0" w:type="dxa"/>
              <w:left w:w="0" w:type="dxa"/>
              <w:bottom w:w="0" w:type="dxa"/>
              <w:right w:w="0" w:type="dxa"/>
            </w:tcMar>
          </w:tcPr>
          <w:p w14:paraId="14DBFB45" w14:textId="1D42EBF5"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At a glance:</w:t>
            </w:r>
            <w:r w:rsidRPr="00A6728B">
              <w:rPr>
                <w:rFonts w:ascii="Maiandra GD" w:eastAsia="Canva Sans" w:hAnsi="Maiandra GD" w:cs="Canva Sans"/>
                <w:color w:val="000000"/>
                <w:sz w:val="24"/>
                <w:szCs w:val="24"/>
              </w:rPr>
              <w:br/>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raises the operational “evidence standard.” Businesses with current books, clear VAT rules, routine reconciliations, and disciplined document retention ten</w:t>
            </w:r>
            <w:r w:rsidRPr="00A6728B">
              <w:rPr>
                <w:rFonts w:ascii="Maiandra GD" w:eastAsia="Canva Sans" w:hAnsi="Maiandra GD" w:cs="Canva Sans"/>
                <w:color w:val="000000"/>
                <w:sz w:val="24"/>
                <w:szCs w:val="24"/>
              </w:rPr>
              <w:t xml:space="preserve">d to experience fewer exceptions and fewer tax disputes—because their records can be verified quickly. </w:t>
            </w:r>
          </w:p>
        </w:tc>
      </w:tr>
    </w:tbl>
    <w:p w14:paraId="6C39F8B5"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 </w:t>
      </w:r>
    </w:p>
    <w:p w14:paraId="070735F0"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This article explains what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changes, the legal anchors SMEs should be aware of, and the bookkeeping and control routines that support VAT accura</w:t>
      </w:r>
      <w:r w:rsidRPr="00A6728B">
        <w:rPr>
          <w:rFonts w:ascii="Maiandra GD" w:eastAsia="Canva Sans" w:hAnsi="Maiandra GD" w:cs="Canva Sans"/>
          <w:color w:val="000000"/>
          <w:sz w:val="24"/>
          <w:szCs w:val="24"/>
        </w:rPr>
        <w:t xml:space="preserve">cy, liability timing, expense governance, and practical tax planning. </w:t>
      </w:r>
    </w:p>
    <w:p w14:paraId="3AACE72B" w14:textId="77777777" w:rsidR="00E379AF" w:rsidRPr="00A6728B" w:rsidRDefault="00E379AF">
      <w:pPr>
        <w:pBdr>
          <w:bottom w:val="single" w:sz="6" w:space="0" w:color="BFC3C8"/>
        </w:pBdr>
        <w:spacing w:before="120" w:after="120" w:line="0" w:lineRule="auto"/>
        <w:rPr>
          <w:rFonts w:ascii="Maiandra GD" w:hAnsi="Maiandra GD"/>
          <w:sz w:val="24"/>
          <w:szCs w:val="24"/>
        </w:rPr>
      </w:pPr>
    </w:p>
    <w:p w14:paraId="162D3231"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1) What </w:t>
      </w:r>
      <w:proofErr w:type="spellStart"/>
      <w:r w:rsidRPr="00A6728B">
        <w:rPr>
          <w:rFonts w:ascii="Maiandra GD" w:eastAsia="Canva Sans Bold" w:hAnsi="Maiandra GD" w:cs="Canva Sans Bold"/>
          <w:b/>
          <w:bCs/>
          <w:color w:val="000000"/>
          <w:sz w:val="24"/>
          <w:szCs w:val="24"/>
        </w:rPr>
        <w:t>eTIMS</w:t>
      </w:r>
      <w:proofErr w:type="spellEnd"/>
      <w:r w:rsidRPr="00A6728B">
        <w:rPr>
          <w:rFonts w:ascii="Maiandra GD" w:eastAsia="Canva Sans Bold" w:hAnsi="Maiandra GD" w:cs="Canva Sans Bold"/>
          <w:b/>
          <w:bCs/>
          <w:color w:val="000000"/>
          <w:sz w:val="24"/>
          <w:szCs w:val="24"/>
        </w:rPr>
        <w:t xml:space="preserve"> Changes (Beyond “Sending Invoices”) </w:t>
      </w:r>
    </w:p>
    <w:p w14:paraId="5EEB45E9"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At a high level,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connects invoice issuance to a stronger expectation of near-real-time consistency between what you invoice, wh</w:t>
      </w:r>
      <w:r w:rsidRPr="00A6728B">
        <w:rPr>
          <w:rFonts w:ascii="Maiandra GD" w:eastAsia="Canva Sans" w:hAnsi="Maiandra GD" w:cs="Canva Sans"/>
          <w:color w:val="000000"/>
          <w:sz w:val="24"/>
          <w:szCs w:val="24"/>
        </w:rPr>
        <w:t xml:space="preserve">at you record in your ledgers, what you claim for VAT, and what your supporting documents show. When data is transmitted electronically and invoices are uniquely identifiable, inconsistencies are easier to detect and harder to explain away later. </w:t>
      </w:r>
    </w:p>
    <w:p w14:paraId="02E5D9C2"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Common o</w:t>
      </w:r>
      <w:r w:rsidRPr="00A6728B">
        <w:rPr>
          <w:rFonts w:ascii="Maiandra GD" w:eastAsia="Canva Sans" w:hAnsi="Maiandra GD" w:cs="Canva Sans"/>
          <w:color w:val="000000"/>
          <w:sz w:val="24"/>
          <w:szCs w:val="24"/>
        </w:rPr>
        <w:t xml:space="preserve">perational shifts SMEs experience under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include: </w:t>
      </w:r>
    </w:p>
    <w:p w14:paraId="46DFA059" w14:textId="77777777" w:rsidR="00E379AF" w:rsidRPr="00A6728B" w:rsidRDefault="00CB1406">
      <w:pPr>
        <w:numPr>
          <w:ilvl w:val="0"/>
          <w:numId w:val="1"/>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Faster visibility of inconsistencies</w:t>
      </w:r>
      <w:r w:rsidRPr="00A6728B">
        <w:rPr>
          <w:rFonts w:ascii="Maiandra GD" w:eastAsia="Canva Sans" w:hAnsi="Maiandra GD" w:cs="Canva Sans"/>
          <w:color w:val="000000"/>
          <w:sz w:val="24"/>
          <w:szCs w:val="24"/>
        </w:rPr>
        <w:t xml:space="preserve">—differences between invoices, ledger postings, and VAT treatment surface sooner. </w:t>
      </w:r>
    </w:p>
    <w:p w14:paraId="0C174B02" w14:textId="77777777" w:rsidR="00E379AF" w:rsidRPr="00A6728B" w:rsidRDefault="00CB1406">
      <w:pPr>
        <w:numPr>
          <w:ilvl w:val="0"/>
          <w:numId w:val="1"/>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Higher pressure on completeness</w:t>
      </w:r>
      <w:r w:rsidRPr="00A6728B">
        <w:rPr>
          <w:rFonts w:ascii="Maiandra GD" w:eastAsia="Canva Sans" w:hAnsi="Maiandra GD" w:cs="Canva Sans"/>
          <w:color w:val="000000"/>
          <w:sz w:val="24"/>
          <w:szCs w:val="24"/>
        </w:rPr>
        <w:t>—missing sales, unrecorded purchases, and “later a</w:t>
      </w:r>
      <w:r w:rsidRPr="00A6728B">
        <w:rPr>
          <w:rFonts w:ascii="Maiandra GD" w:eastAsia="Canva Sans" w:hAnsi="Maiandra GD" w:cs="Canva Sans"/>
          <w:color w:val="000000"/>
          <w:sz w:val="24"/>
          <w:szCs w:val="24"/>
        </w:rPr>
        <w:t xml:space="preserve">djustments” increase risk when evidence is expected to align routinely. </w:t>
      </w:r>
    </w:p>
    <w:p w14:paraId="74A53994" w14:textId="77777777" w:rsidR="00E379AF" w:rsidRPr="00A6728B" w:rsidRDefault="00CB1406">
      <w:pPr>
        <w:numPr>
          <w:ilvl w:val="0"/>
          <w:numId w:val="1"/>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lastRenderedPageBreak/>
        <w:t>Stronger linkage expectations</w:t>
      </w:r>
      <w:r w:rsidRPr="00A6728B">
        <w:rPr>
          <w:rFonts w:ascii="Maiandra GD" w:eastAsia="Canva Sans" w:hAnsi="Maiandra GD" w:cs="Canva Sans"/>
          <w:color w:val="000000"/>
          <w:sz w:val="24"/>
          <w:szCs w:val="24"/>
        </w:rPr>
        <w:t xml:space="preserve">—invoice identifiers, credit notes/cancellations, and payment references should connect cleanly across systems and records. </w:t>
      </w:r>
    </w:p>
    <w:p w14:paraId="019EE944" w14:textId="77777777" w:rsidR="00E379AF" w:rsidRPr="00A6728B" w:rsidRDefault="00CB1406">
      <w:pPr>
        <w:numPr>
          <w:ilvl w:val="0"/>
          <w:numId w:val="1"/>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Greater importance of </w:t>
      </w:r>
      <w:r w:rsidRPr="00A6728B">
        <w:rPr>
          <w:rFonts w:ascii="Maiandra GD" w:eastAsia="Canva Sans Bold" w:hAnsi="Maiandra GD" w:cs="Canva Sans Bold"/>
          <w:b/>
          <w:bCs/>
          <w:color w:val="000000"/>
          <w:sz w:val="24"/>
          <w:szCs w:val="24"/>
        </w:rPr>
        <w:t>retention and retrieval</w:t>
      </w:r>
      <w:r w:rsidRPr="00A6728B">
        <w:rPr>
          <w:rFonts w:ascii="Maiandra GD" w:eastAsia="Canva Sans" w:hAnsi="Maiandra GD" w:cs="Canva Sans"/>
          <w:color w:val="000000"/>
          <w:sz w:val="24"/>
          <w:szCs w:val="24"/>
        </w:rPr>
        <w:t xml:space="preserve">—supporting documents need to be </w:t>
      </w:r>
      <w:proofErr w:type="spellStart"/>
      <w:r w:rsidRPr="00A6728B">
        <w:rPr>
          <w:rFonts w:ascii="Maiandra GD" w:eastAsia="Canva Sans" w:hAnsi="Maiandra GD" w:cs="Canva Sans"/>
          <w:color w:val="000000"/>
          <w:sz w:val="24"/>
          <w:szCs w:val="24"/>
        </w:rPr>
        <w:t>organised</w:t>
      </w:r>
      <w:proofErr w:type="spellEnd"/>
      <w:r w:rsidRPr="00A6728B">
        <w:rPr>
          <w:rFonts w:ascii="Maiandra GD" w:eastAsia="Canva Sans" w:hAnsi="Maiandra GD" w:cs="Canva Sans"/>
          <w:color w:val="000000"/>
          <w:sz w:val="24"/>
          <w:szCs w:val="24"/>
        </w:rPr>
        <w:t xml:space="preserve"> so they can be produced without delay.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E379AF" w:rsidRPr="00A6728B" w14:paraId="474B7848" w14:textId="77777777">
        <w:tblPrEx>
          <w:tblCellMar>
            <w:top w:w="0" w:type="dxa"/>
            <w:bottom w:w="0" w:type="dxa"/>
          </w:tblCellMar>
        </w:tblPrEx>
        <w:tc>
          <w:tcPr>
            <w:tcW w:w="9030" w:type="dxa"/>
            <w:shd w:val="clear" w:color="auto" w:fill="FFF7ED"/>
            <w:tcMar>
              <w:top w:w="0" w:type="dxa"/>
              <w:left w:w="0" w:type="dxa"/>
              <w:bottom w:w="0" w:type="dxa"/>
              <w:right w:w="0" w:type="dxa"/>
            </w:tcMar>
          </w:tcPr>
          <w:p w14:paraId="48678AFA" w14:textId="2B62E8BA"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Key point:</w:t>
            </w:r>
            <w:r w:rsidRPr="00A6728B">
              <w:rPr>
                <w:rFonts w:ascii="Maiandra GD" w:eastAsia="Canva Sans" w:hAnsi="Maiandra GD" w:cs="Canva Sans"/>
                <w:color w:val="000000"/>
                <w:sz w:val="24"/>
                <w:szCs w:val="24"/>
              </w:rPr>
              <w:br/>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does not replace bookkeeping. It increases the cost of weak bookkeeping because invoice and VAT trails become easier to compare agai</w:t>
            </w:r>
            <w:r w:rsidRPr="00A6728B">
              <w:rPr>
                <w:rFonts w:ascii="Maiandra GD" w:eastAsia="Canva Sans" w:hAnsi="Maiandra GD" w:cs="Canva Sans"/>
                <w:color w:val="000000"/>
                <w:sz w:val="24"/>
                <w:szCs w:val="24"/>
              </w:rPr>
              <w:t xml:space="preserve">nst what your records claim. </w:t>
            </w:r>
          </w:p>
        </w:tc>
      </w:tr>
    </w:tbl>
    <w:p w14:paraId="355230D5" w14:textId="77777777" w:rsidR="00E379AF" w:rsidRPr="00A6728B" w:rsidRDefault="00E379AF">
      <w:pPr>
        <w:pBdr>
          <w:bottom w:val="single" w:sz="6" w:space="0" w:color="BFC3C8"/>
        </w:pBdr>
        <w:spacing w:before="120" w:after="120" w:line="0" w:lineRule="auto"/>
        <w:rPr>
          <w:rFonts w:ascii="Maiandra GD" w:hAnsi="Maiandra GD"/>
          <w:sz w:val="24"/>
          <w:szCs w:val="24"/>
        </w:rPr>
      </w:pPr>
    </w:p>
    <w:p w14:paraId="2D282A94"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2) The Legal Anchors SMEs Commonly Reference </w:t>
      </w:r>
    </w:p>
    <w:p w14:paraId="78F64960"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You do not need to </w:t>
      </w:r>
      <w:proofErr w:type="spellStart"/>
      <w:r w:rsidRPr="00A6728B">
        <w:rPr>
          <w:rFonts w:ascii="Maiandra GD" w:eastAsia="Canva Sans" w:hAnsi="Maiandra GD" w:cs="Canva Sans"/>
          <w:color w:val="000000"/>
          <w:sz w:val="24"/>
          <w:szCs w:val="24"/>
        </w:rPr>
        <w:t>memorise</w:t>
      </w:r>
      <w:proofErr w:type="spellEnd"/>
      <w:r w:rsidRPr="00A6728B">
        <w:rPr>
          <w:rFonts w:ascii="Maiandra GD" w:eastAsia="Canva Sans" w:hAnsi="Maiandra GD" w:cs="Canva Sans"/>
          <w:color w:val="000000"/>
          <w:sz w:val="24"/>
          <w:szCs w:val="24"/>
        </w:rPr>
        <w:t xml:space="preserve"> the legislation to manage well day-to-day, but it helps leadership understand what regulators generally expect: compliant electronic invoicing, proper</w:t>
      </w:r>
      <w:r w:rsidRPr="00A6728B">
        <w:rPr>
          <w:rFonts w:ascii="Maiandra GD" w:eastAsia="Canva Sans" w:hAnsi="Maiandra GD" w:cs="Canva Sans"/>
          <w:color w:val="000000"/>
          <w:sz w:val="24"/>
          <w:szCs w:val="24"/>
        </w:rPr>
        <w:t xml:space="preserve"> VAT invoicing and record-keeping, and the ability to produce records when requested. </w:t>
      </w:r>
    </w:p>
    <w:p w14:paraId="1B69F15F"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Key reference points commonly cited in Kenya include: </w:t>
      </w:r>
    </w:p>
    <w:p w14:paraId="4A5D88FA" w14:textId="77777777" w:rsidR="00E379AF" w:rsidRPr="00A6728B" w:rsidRDefault="00CB1406">
      <w:pPr>
        <w:numPr>
          <w:ilvl w:val="0"/>
          <w:numId w:val="2"/>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Tax Procedures Act, 2015 — Section 23A</w:t>
      </w:r>
      <w:r w:rsidRPr="00A6728B">
        <w:rPr>
          <w:rFonts w:ascii="Maiandra GD" w:eastAsia="Canva Sans" w:hAnsi="Maiandra GD" w:cs="Canva Sans"/>
          <w:color w:val="000000"/>
          <w:sz w:val="24"/>
          <w:szCs w:val="24"/>
        </w:rPr>
        <w:t>: provides for electronic tax invoicing systems and related record requireme</w:t>
      </w:r>
      <w:r w:rsidRPr="00A6728B">
        <w:rPr>
          <w:rFonts w:ascii="Maiandra GD" w:eastAsia="Canva Sans" w:hAnsi="Maiandra GD" w:cs="Canva Sans"/>
          <w:color w:val="000000"/>
          <w:sz w:val="24"/>
          <w:szCs w:val="24"/>
        </w:rPr>
        <w:t xml:space="preserve">nts. </w:t>
      </w:r>
    </w:p>
    <w:p w14:paraId="015CB2E5" w14:textId="77777777" w:rsidR="00E379AF" w:rsidRPr="00A6728B" w:rsidRDefault="00CB1406">
      <w:pPr>
        <w:numPr>
          <w:ilvl w:val="0"/>
          <w:numId w:val="2"/>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Tax Procedures (Electronic Tax Invoice) Regulations, 2024 (Legal Notice No. 64 of 2024)</w:t>
      </w:r>
      <w:r w:rsidRPr="00A6728B">
        <w:rPr>
          <w:rFonts w:ascii="Maiandra GD" w:eastAsia="Canva Sans" w:hAnsi="Maiandra GD" w:cs="Canva Sans"/>
          <w:color w:val="000000"/>
          <w:sz w:val="24"/>
          <w:szCs w:val="24"/>
        </w:rPr>
        <w:t xml:space="preserve">: sets electronic invoicing requirements, invoice details, transmission expectations, and record retention (effective 28 March 2024). </w:t>
      </w:r>
    </w:p>
    <w:p w14:paraId="5C47A706" w14:textId="77777777" w:rsidR="00E379AF" w:rsidRPr="00A6728B" w:rsidRDefault="00CB1406">
      <w:pPr>
        <w:numPr>
          <w:ilvl w:val="0"/>
          <w:numId w:val="2"/>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Value Added Tax Act, 2013 — </w:t>
      </w:r>
      <w:r w:rsidRPr="00A6728B">
        <w:rPr>
          <w:rFonts w:ascii="Maiandra GD" w:eastAsia="Canva Sans Bold" w:hAnsi="Maiandra GD" w:cs="Canva Sans Bold"/>
          <w:b/>
          <w:bCs/>
          <w:color w:val="000000"/>
          <w:sz w:val="24"/>
          <w:szCs w:val="24"/>
        </w:rPr>
        <w:t>Sections 42 &amp; 43</w:t>
      </w:r>
      <w:r w:rsidRPr="00A6728B">
        <w:rPr>
          <w:rFonts w:ascii="Maiandra GD" w:eastAsia="Canva Sans" w:hAnsi="Maiandra GD" w:cs="Canva Sans"/>
          <w:color w:val="000000"/>
          <w:sz w:val="24"/>
          <w:szCs w:val="24"/>
        </w:rPr>
        <w:t xml:space="preserve">: sets core standards for VAT invoicing and record keeping;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makes practical enforcement easier through data linkage. </w:t>
      </w:r>
    </w:p>
    <w:p w14:paraId="43DF74FC" w14:textId="77777777" w:rsidR="00E379AF" w:rsidRPr="00A6728B" w:rsidRDefault="00CB1406">
      <w:pPr>
        <w:numPr>
          <w:ilvl w:val="0"/>
          <w:numId w:val="2"/>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Tax Procedures Act, 2015 — Section 86</w:t>
      </w:r>
      <w:r w:rsidRPr="00A6728B">
        <w:rPr>
          <w:rFonts w:ascii="Maiandra GD" w:eastAsia="Canva Sans" w:hAnsi="Maiandra GD" w:cs="Canva Sans"/>
          <w:color w:val="000000"/>
          <w:sz w:val="24"/>
          <w:szCs w:val="24"/>
        </w:rPr>
        <w:t>: outlines penalties that can apply to non-compliance (penalty exposure is part</w:t>
      </w:r>
      <w:r w:rsidRPr="00A6728B">
        <w:rPr>
          <w:rFonts w:ascii="Maiandra GD" w:eastAsia="Canva Sans" w:hAnsi="Maiandra GD" w:cs="Canva Sans"/>
          <w:color w:val="000000"/>
          <w:sz w:val="24"/>
          <w:szCs w:val="24"/>
        </w:rPr>
        <w:t xml:space="preserve"> of the business risk).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E379AF" w:rsidRPr="00A6728B" w14:paraId="504A1478" w14:textId="77777777">
        <w:tblPrEx>
          <w:tblCellMar>
            <w:top w:w="0" w:type="dxa"/>
            <w:bottom w:w="0" w:type="dxa"/>
          </w:tblCellMar>
        </w:tblPrEx>
        <w:tc>
          <w:tcPr>
            <w:tcW w:w="9030" w:type="dxa"/>
            <w:shd w:val="clear" w:color="auto" w:fill="F0FDF4"/>
            <w:tcMar>
              <w:top w:w="0" w:type="dxa"/>
              <w:left w:w="0" w:type="dxa"/>
              <w:bottom w:w="0" w:type="dxa"/>
              <w:right w:w="0" w:type="dxa"/>
            </w:tcMar>
          </w:tcPr>
          <w:p w14:paraId="6E97CAC0" w14:textId="0C86EF6E"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Leadership lens:</w:t>
            </w:r>
            <w:r w:rsidRPr="00A6728B">
              <w:rPr>
                <w:rFonts w:ascii="Maiandra GD" w:eastAsia="Canva Sans" w:hAnsi="Maiandra GD" w:cs="Canva Sans"/>
                <w:color w:val="000000"/>
                <w:sz w:val="24"/>
                <w:szCs w:val="24"/>
              </w:rPr>
              <w:br/>
              <w:t xml:space="preserve">Treat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as a record-integrity requirement. The goal is not “perfect paperwork,” but a record system that is accurate, complete, consistent, and retrievable. </w:t>
            </w:r>
          </w:p>
        </w:tc>
      </w:tr>
    </w:tbl>
    <w:p w14:paraId="45002F03" w14:textId="77777777" w:rsidR="00E379AF" w:rsidRPr="00A6728B" w:rsidRDefault="00E379AF">
      <w:pPr>
        <w:pBdr>
          <w:bottom w:val="single" w:sz="6" w:space="0" w:color="BFC3C8"/>
        </w:pBdr>
        <w:spacing w:before="120" w:after="120" w:line="0" w:lineRule="auto"/>
        <w:rPr>
          <w:rFonts w:ascii="Maiandra GD" w:hAnsi="Maiandra GD"/>
          <w:sz w:val="24"/>
          <w:szCs w:val="24"/>
        </w:rPr>
      </w:pPr>
    </w:p>
    <w:p w14:paraId="331863C0"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3) Bookkeeping Discipline Under </w:t>
      </w:r>
      <w:proofErr w:type="spellStart"/>
      <w:r w:rsidRPr="00A6728B">
        <w:rPr>
          <w:rFonts w:ascii="Maiandra GD" w:eastAsia="Canva Sans Bold" w:hAnsi="Maiandra GD" w:cs="Canva Sans Bold"/>
          <w:b/>
          <w:bCs/>
          <w:color w:val="000000"/>
          <w:sz w:val="24"/>
          <w:szCs w:val="24"/>
        </w:rPr>
        <w:t>eTIMS</w:t>
      </w:r>
      <w:proofErr w:type="spellEnd"/>
      <w:r w:rsidRPr="00A6728B">
        <w:rPr>
          <w:rFonts w:ascii="Maiandra GD" w:eastAsia="Canva Sans Bold" w:hAnsi="Maiandra GD" w:cs="Canva Sans Bold"/>
          <w:b/>
          <w:bCs/>
          <w:color w:val="000000"/>
          <w:sz w:val="24"/>
          <w:szCs w:val="24"/>
        </w:rPr>
        <w:t xml:space="preserve">: The Operating Routines That Reduce Risk </w:t>
      </w:r>
    </w:p>
    <w:p w14:paraId="49B79889"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Under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late posting and “month-end reconstruction” create avoidable exposure. The most resilient SMEs build a routine operating cadence that keeps invoicing, ledgers, and</w:t>
      </w:r>
      <w:r w:rsidRPr="00A6728B">
        <w:rPr>
          <w:rFonts w:ascii="Maiandra GD" w:eastAsia="Canva Sans" w:hAnsi="Maiandra GD" w:cs="Canva Sans"/>
          <w:color w:val="000000"/>
          <w:sz w:val="24"/>
          <w:szCs w:val="24"/>
        </w:rPr>
        <w:t xml:space="preserve"> supporting evidence aligned as transactions happen. </w:t>
      </w:r>
    </w:p>
    <w:p w14:paraId="2363AD2B"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lastRenderedPageBreak/>
        <w:t xml:space="preserve">Focus areas that often matter most: </w:t>
      </w:r>
    </w:p>
    <w:p w14:paraId="41F70597" w14:textId="77777777" w:rsidR="00E379AF" w:rsidRPr="00A6728B" w:rsidRDefault="00CB1406">
      <w:pPr>
        <w:numPr>
          <w:ilvl w:val="0"/>
          <w:numId w:val="3"/>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Invoice governance</w:t>
      </w:r>
      <w:r w:rsidRPr="00A6728B">
        <w:rPr>
          <w:rFonts w:ascii="Maiandra GD" w:eastAsia="Canva Sans" w:hAnsi="Maiandra GD" w:cs="Canva Sans"/>
          <w:color w:val="000000"/>
          <w:sz w:val="24"/>
          <w:szCs w:val="24"/>
        </w:rPr>
        <w:t xml:space="preserve">—controlled sequencing, </w:t>
      </w:r>
      <w:proofErr w:type="spellStart"/>
      <w:r w:rsidRPr="00A6728B">
        <w:rPr>
          <w:rFonts w:ascii="Maiandra GD" w:eastAsia="Canva Sans" w:hAnsi="Maiandra GD" w:cs="Canva Sans"/>
          <w:color w:val="000000"/>
          <w:sz w:val="24"/>
          <w:szCs w:val="24"/>
        </w:rPr>
        <w:t>authorised</w:t>
      </w:r>
      <w:proofErr w:type="spellEnd"/>
      <w:r w:rsidRPr="00A6728B">
        <w:rPr>
          <w:rFonts w:ascii="Maiandra GD" w:eastAsia="Canva Sans" w:hAnsi="Maiandra GD" w:cs="Canva Sans"/>
          <w:color w:val="000000"/>
          <w:sz w:val="24"/>
          <w:szCs w:val="24"/>
        </w:rPr>
        <w:t xml:space="preserve"> credit notes/cancellations, and consistent use of identifiers. </w:t>
      </w:r>
    </w:p>
    <w:p w14:paraId="3C9E49D2" w14:textId="77777777" w:rsidR="00E379AF" w:rsidRPr="00A6728B" w:rsidRDefault="00CB1406">
      <w:pPr>
        <w:numPr>
          <w:ilvl w:val="0"/>
          <w:numId w:val="3"/>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Transaction completeness</w:t>
      </w:r>
      <w:r w:rsidRPr="00A6728B">
        <w:rPr>
          <w:rFonts w:ascii="Maiandra GD" w:eastAsia="Canva Sans" w:hAnsi="Maiandra GD" w:cs="Canva Sans"/>
          <w:color w:val="000000"/>
          <w:sz w:val="24"/>
          <w:szCs w:val="24"/>
        </w:rPr>
        <w:t>—capturing all sales, pu</w:t>
      </w:r>
      <w:r w:rsidRPr="00A6728B">
        <w:rPr>
          <w:rFonts w:ascii="Maiandra GD" w:eastAsia="Canva Sans" w:hAnsi="Maiandra GD" w:cs="Canva Sans"/>
          <w:color w:val="000000"/>
          <w:sz w:val="24"/>
          <w:szCs w:val="24"/>
        </w:rPr>
        <w:t xml:space="preserve">rchases, and adjustments (including mobile money activity) without gaps. </w:t>
      </w:r>
    </w:p>
    <w:p w14:paraId="1F82E092" w14:textId="77777777" w:rsidR="00E379AF" w:rsidRPr="00A6728B" w:rsidRDefault="00CB1406">
      <w:pPr>
        <w:numPr>
          <w:ilvl w:val="0"/>
          <w:numId w:val="3"/>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Coding standards</w:t>
      </w:r>
      <w:r w:rsidRPr="00A6728B">
        <w:rPr>
          <w:rFonts w:ascii="Maiandra GD" w:eastAsia="Canva Sans" w:hAnsi="Maiandra GD" w:cs="Canva Sans"/>
          <w:color w:val="000000"/>
          <w:sz w:val="24"/>
          <w:szCs w:val="24"/>
        </w:rPr>
        <w:t xml:space="preserve">—consistent chart-of-accounts and VAT codes so similar transactions are treated the same way each time. </w:t>
      </w:r>
    </w:p>
    <w:p w14:paraId="7AEE0E5D" w14:textId="77777777" w:rsidR="00E379AF" w:rsidRPr="00A6728B" w:rsidRDefault="00CB1406">
      <w:pPr>
        <w:numPr>
          <w:ilvl w:val="0"/>
          <w:numId w:val="3"/>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Document capture</w:t>
      </w:r>
      <w:r w:rsidRPr="00A6728B">
        <w:rPr>
          <w:rFonts w:ascii="Maiandra GD" w:eastAsia="Canva Sans" w:hAnsi="Maiandra GD" w:cs="Canva Sans"/>
          <w:color w:val="000000"/>
          <w:sz w:val="24"/>
          <w:szCs w:val="24"/>
        </w:rPr>
        <w:t xml:space="preserve">—supplier </w:t>
      </w:r>
      <w:r w:rsidRPr="00A6728B">
        <w:rPr>
          <w:rFonts w:ascii="Maiandra GD" w:eastAsia="Canva Sans" w:hAnsi="Maiandra GD" w:cs="Canva Sans"/>
          <w:color w:val="000000"/>
          <w:sz w:val="24"/>
          <w:szCs w:val="24"/>
        </w:rPr>
        <w:t xml:space="preserve">invoices/receipts, contracts, delivery notes, approvals, and other support filed in a retrievable structure. </w:t>
      </w:r>
    </w:p>
    <w:p w14:paraId="19A9F103" w14:textId="77777777" w:rsidR="00E379AF" w:rsidRPr="00A6728B" w:rsidRDefault="00CB1406">
      <w:pPr>
        <w:numPr>
          <w:ilvl w:val="0"/>
          <w:numId w:val="3"/>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Reconciliations</w:t>
      </w:r>
      <w:r w:rsidRPr="00A6728B">
        <w:rPr>
          <w:rFonts w:ascii="Maiandra GD" w:eastAsia="Canva Sans" w:hAnsi="Maiandra GD" w:cs="Canva Sans"/>
          <w:color w:val="000000"/>
          <w:sz w:val="24"/>
          <w:szCs w:val="24"/>
        </w:rPr>
        <w:t xml:space="preserve">—routine matching of bank and mobile money to ledgers and invoices to confirm accuracy and detect leakage early. </w:t>
      </w:r>
    </w:p>
    <w:tbl>
      <w:tblPr>
        <w:tblW w:w="9030" w:type="dxa"/>
        <w:tblInd w:w="-8" w:type="dxa"/>
        <w:tblBorders>
          <w:top w:val="single" w:sz="6" w:space="0" w:color="DBDBDB"/>
          <w:left w:val="single" w:sz="6" w:space="0" w:color="DBDBDB"/>
          <w:bottom w:val="single" w:sz="6" w:space="0" w:color="DBDBDB"/>
          <w:right w:val="single" w:sz="6" w:space="0" w:color="DBDBDB"/>
          <w:insideH w:val="single" w:sz="6" w:space="0" w:color="DBDBDB"/>
          <w:insideV w:val="single" w:sz="6" w:space="0" w:color="DBDBDB"/>
        </w:tblBorders>
        <w:tblCellMar>
          <w:left w:w="10" w:type="dxa"/>
          <w:right w:w="10" w:type="dxa"/>
        </w:tblCellMar>
        <w:tblLook w:val="0000" w:firstRow="0" w:lastRow="0" w:firstColumn="0" w:lastColumn="0" w:noHBand="0" w:noVBand="0"/>
      </w:tblPr>
      <w:tblGrid>
        <w:gridCol w:w="8"/>
        <w:gridCol w:w="3789"/>
        <w:gridCol w:w="5226"/>
        <w:gridCol w:w="7"/>
      </w:tblGrid>
      <w:tr w:rsidR="00E379AF" w:rsidRPr="00A6728B" w14:paraId="4982B2A8" w14:textId="77777777">
        <w:tblPrEx>
          <w:tblCellMar>
            <w:top w:w="0" w:type="dxa"/>
            <w:bottom w:w="0" w:type="dxa"/>
          </w:tblCellMar>
        </w:tblPrEx>
        <w:trPr>
          <w:gridBefore w:val="1"/>
          <w:wBefore w:w="8" w:type="dxa"/>
        </w:trPr>
        <w:tc>
          <w:tcPr>
            <w:tcW w:w="3792" w:type="dxa"/>
            <w:shd w:val="clear" w:color="auto" w:fill="F3F4F6"/>
            <w:tcMar>
              <w:top w:w="180" w:type="dxa"/>
              <w:left w:w="180" w:type="dxa"/>
              <w:bottom w:w="180" w:type="dxa"/>
              <w:right w:w="180" w:type="dxa"/>
            </w:tcMar>
          </w:tcPr>
          <w:p w14:paraId="278FB0DF"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Control / discipl</w:t>
            </w:r>
            <w:r w:rsidRPr="00A6728B">
              <w:rPr>
                <w:rFonts w:ascii="Maiandra GD" w:eastAsia="Canva Sans Bold" w:hAnsi="Maiandra GD" w:cs="Canva Sans Bold"/>
                <w:b/>
                <w:bCs/>
                <w:color w:val="000000"/>
                <w:sz w:val="24"/>
                <w:szCs w:val="24"/>
              </w:rPr>
              <w:t xml:space="preserve">ine </w:t>
            </w:r>
          </w:p>
        </w:tc>
        <w:tc>
          <w:tcPr>
            <w:tcW w:w="5237" w:type="dxa"/>
            <w:gridSpan w:val="2"/>
            <w:shd w:val="clear" w:color="auto" w:fill="F3F4F6"/>
            <w:tcMar>
              <w:top w:w="180" w:type="dxa"/>
              <w:left w:w="180" w:type="dxa"/>
              <w:bottom w:w="180" w:type="dxa"/>
              <w:right w:w="180" w:type="dxa"/>
            </w:tcMar>
          </w:tcPr>
          <w:p w14:paraId="4E811801"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Why it matters under </w:t>
            </w:r>
            <w:proofErr w:type="spellStart"/>
            <w:r w:rsidRPr="00A6728B">
              <w:rPr>
                <w:rFonts w:ascii="Maiandra GD" w:eastAsia="Canva Sans Bold" w:hAnsi="Maiandra GD" w:cs="Canva Sans Bold"/>
                <w:b/>
                <w:bCs/>
                <w:color w:val="000000"/>
                <w:sz w:val="24"/>
                <w:szCs w:val="24"/>
              </w:rPr>
              <w:t>eTIMS</w:t>
            </w:r>
            <w:proofErr w:type="spellEnd"/>
            <w:r w:rsidRPr="00A6728B">
              <w:rPr>
                <w:rFonts w:ascii="Maiandra GD" w:eastAsia="Canva Sans Bold" w:hAnsi="Maiandra GD" w:cs="Canva Sans Bold"/>
                <w:b/>
                <w:bCs/>
                <w:color w:val="000000"/>
                <w:sz w:val="24"/>
                <w:szCs w:val="24"/>
              </w:rPr>
              <w:t xml:space="preserve"> </w:t>
            </w:r>
          </w:p>
        </w:tc>
      </w:tr>
      <w:tr w:rsidR="00E379AF" w:rsidRPr="00A6728B" w14:paraId="3470459D" w14:textId="77777777">
        <w:tblPrEx>
          <w:tblCellMar>
            <w:top w:w="0" w:type="dxa"/>
            <w:bottom w:w="0" w:type="dxa"/>
          </w:tblCellMar>
        </w:tblPrEx>
        <w:trPr>
          <w:gridBefore w:val="1"/>
          <w:wBefore w:w="8" w:type="dxa"/>
        </w:trPr>
        <w:tc>
          <w:tcPr>
            <w:tcW w:w="3792" w:type="dxa"/>
            <w:tcMar>
              <w:top w:w="180" w:type="dxa"/>
              <w:left w:w="180" w:type="dxa"/>
              <w:bottom w:w="180" w:type="dxa"/>
              <w:right w:w="180" w:type="dxa"/>
            </w:tcMar>
          </w:tcPr>
          <w:p w14:paraId="360CBE22"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Daily/weekly posting </w:t>
            </w:r>
          </w:p>
        </w:tc>
        <w:tc>
          <w:tcPr>
            <w:tcW w:w="5237" w:type="dxa"/>
            <w:gridSpan w:val="2"/>
            <w:tcMar>
              <w:top w:w="180" w:type="dxa"/>
              <w:left w:w="180" w:type="dxa"/>
              <w:bottom w:w="180" w:type="dxa"/>
              <w:right w:w="180" w:type="dxa"/>
            </w:tcMar>
          </w:tcPr>
          <w:p w14:paraId="21E6F5CC"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Reduces end-period corrections and makes invoice/VAT trails easier to confirm while facts are fresh. </w:t>
            </w:r>
          </w:p>
        </w:tc>
      </w:tr>
      <w:tr w:rsidR="00E379AF" w:rsidRPr="00A6728B" w14:paraId="1E45B9E5" w14:textId="77777777">
        <w:tblPrEx>
          <w:tblCellMar>
            <w:top w:w="0" w:type="dxa"/>
            <w:bottom w:w="0" w:type="dxa"/>
          </w:tblCellMar>
        </w:tblPrEx>
        <w:trPr>
          <w:gridBefore w:val="1"/>
          <w:wBefore w:w="8" w:type="dxa"/>
        </w:trPr>
        <w:tc>
          <w:tcPr>
            <w:tcW w:w="3792" w:type="dxa"/>
            <w:tcMar>
              <w:top w:w="180" w:type="dxa"/>
              <w:left w:w="180" w:type="dxa"/>
              <w:bottom w:w="180" w:type="dxa"/>
              <w:right w:w="180" w:type="dxa"/>
            </w:tcMar>
          </w:tcPr>
          <w:p w14:paraId="522B5BD8"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Credit note &amp; cancellation controls </w:t>
            </w:r>
          </w:p>
        </w:tc>
        <w:tc>
          <w:tcPr>
            <w:tcW w:w="5237" w:type="dxa"/>
            <w:gridSpan w:val="2"/>
            <w:tcMar>
              <w:top w:w="180" w:type="dxa"/>
              <w:left w:w="180" w:type="dxa"/>
              <w:bottom w:w="180" w:type="dxa"/>
              <w:right w:w="180" w:type="dxa"/>
            </w:tcMar>
          </w:tcPr>
          <w:p w14:paraId="646F5611"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Prevents revenue/VAT distortions and supports a defensible audit trail for reversals and adjustments. </w:t>
            </w:r>
          </w:p>
        </w:tc>
      </w:tr>
      <w:tr w:rsidR="00E379AF" w:rsidRPr="00A6728B" w14:paraId="78040AF5" w14:textId="77777777">
        <w:tblPrEx>
          <w:tblCellMar>
            <w:top w:w="0" w:type="dxa"/>
            <w:bottom w:w="0" w:type="dxa"/>
          </w:tblCellMar>
        </w:tblPrEx>
        <w:trPr>
          <w:gridBefore w:val="1"/>
          <w:wBefore w:w="8" w:type="dxa"/>
        </w:trPr>
        <w:tc>
          <w:tcPr>
            <w:tcW w:w="3792" w:type="dxa"/>
            <w:tcMar>
              <w:top w:w="180" w:type="dxa"/>
              <w:left w:w="180" w:type="dxa"/>
              <w:bottom w:w="180" w:type="dxa"/>
              <w:right w:w="180" w:type="dxa"/>
            </w:tcMar>
          </w:tcPr>
          <w:p w14:paraId="73F9595C" w14:textId="77777777" w:rsidR="00E379AF" w:rsidRPr="00A6728B" w:rsidRDefault="00CB1406">
            <w:pPr>
              <w:spacing w:before="120" w:after="120" w:line="336" w:lineRule="auto"/>
              <w:rPr>
                <w:rFonts w:ascii="Maiandra GD" w:hAnsi="Maiandra GD"/>
                <w:sz w:val="24"/>
                <w:szCs w:val="24"/>
              </w:rPr>
            </w:pPr>
            <w:proofErr w:type="spellStart"/>
            <w:r w:rsidRPr="00A6728B">
              <w:rPr>
                <w:rFonts w:ascii="Maiandra GD" w:eastAsia="Canva Sans Bold" w:hAnsi="Maiandra GD" w:cs="Canva Sans Bold"/>
                <w:b/>
                <w:bCs/>
                <w:color w:val="000000"/>
                <w:sz w:val="24"/>
                <w:szCs w:val="24"/>
              </w:rPr>
              <w:t>Standardised</w:t>
            </w:r>
            <w:proofErr w:type="spellEnd"/>
            <w:r w:rsidRPr="00A6728B">
              <w:rPr>
                <w:rFonts w:ascii="Maiandra GD" w:eastAsia="Canva Sans Bold" w:hAnsi="Maiandra GD" w:cs="Canva Sans Bold"/>
                <w:b/>
                <w:bCs/>
                <w:color w:val="000000"/>
                <w:sz w:val="24"/>
                <w:szCs w:val="24"/>
              </w:rPr>
              <w:t xml:space="preserve"> VAT mapping </w:t>
            </w:r>
          </w:p>
        </w:tc>
        <w:tc>
          <w:tcPr>
            <w:tcW w:w="5237" w:type="dxa"/>
            <w:gridSpan w:val="2"/>
            <w:tcMar>
              <w:top w:w="180" w:type="dxa"/>
              <w:left w:w="180" w:type="dxa"/>
              <w:bottom w:w="180" w:type="dxa"/>
              <w:right w:w="180" w:type="dxa"/>
            </w:tcMar>
          </w:tcPr>
          <w:p w14:paraId="3FE61017"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Improves consistency across taxable/exempt/zero-rated/non-vatable items and reduces rework when filing. </w:t>
            </w:r>
          </w:p>
        </w:tc>
      </w:tr>
      <w:tr w:rsidR="00E379AF" w:rsidRPr="00A6728B" w14:paraId="02EEC9F2" w14:textId="77777777">
        <w:tblPrEx>
          <w:tblCellMar>
            <w:top w:w="0" w:type="dxa"/>
            <w:bottom w:w="0" w:type="dxa"/>
          </w:tblCellMar>
        </w:tblPrEx>
        <w:trPr>
          <w:gridBefore w:val="1"/>
          <w:wBefore w:w="8" w:type="dxa"/>
        </w:trPr>
        <w:tc>
          <w:tcPr>
            <w:tcW w:w="3792" w:type="dxa"/>
            <w:tcMar>
              <w:top w:w="180" w:type="dxa"/>
              <w:left w:w="180" w:type="dxa"/>
              <w:bottom w:w="180" w:type="dxa"/>
              <w:right w:w="180" w:type="dxa"/>
            </w:tcMar>
          </w:tcPr>
          <w:p w14:paraId="4E255995"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Supplier invoice matching </w:t>
            </w:r>
          </w:p>
        </w:tc>
        <w:tc>
          <w:tcPr>
            <w:tcW w:w="5237" w:type="dxa"/>
            <w:gridSpan w:val="2"/>
            <w:tcMar>
              <w:top w:w="180" w:type="dxa"/>
              <w:left w:w="180" w:type="dxa"/>
              <w:bottom w:w="180" w:type="dxa"/>
              <w:right w:w="180" w:type="dxa"/>
            </w:tcMar>
          </w:tcPr>
          <w:p w14:paraId="09EA7748"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Supports input VAT claims and reduces disallowances caused by missing or inconsistent evidence. </w:t>
            </w:r>
          </w:p>
        </w:tc>
      </w:tr>
      <w:tr w:rsidR="00E379AF" w:rsidRPr="00A6728B" w14:paraId="2477DC9C" w14:textId="77777777">
        <w:tblPrEx>
          <w:tblCellMar>
            <w:top w:w="0" w:type="dxa"/>
            <w:bottom w:w="0" w:type="dxa"/>
          </w:tblCellMar>
        </w:tblPrEx>
        <w:trPr>
          <w:gridBefore w:val="1"/>
          <w:wBefore w:w="8" w:type="dxa"/>
        </w:trPr>
        <w:tc>
          <w:tcPr>
            <w:tcW w:w="3792" w:type="dxa"/>
            <w:tcMar>
              <w:top w:w="180" w:type="dxa"/>
              <w:left w:w="180" w:type="dxa"/>
              <w:bottom w:w="180" w:type="dxa"/>
              <w:right w:w="180" w:type="dxa"/>
            </w:tcMar>
          </w:tcPr>
          <w:p w14:paraId="1DC5F2A7"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lastRenderedPageBreak/>
              <w:t>Bank &amp; mobile money recon</w:t>
            </w:r>
            <w:r w:rsidRPr="00A6728B">
              <w:rPr>
                <w:rFonts w:ascii="Maiandra GD" w:eastAsia="Canva Sans Bold" w:hAnsi="Maiandra GD" w:cs="Canva Sans Bold"/>
                <w:b/>
                <w:bCs/>
                <w:color w:val="000000"/>
                <w:sz w:val="24"/>
                <w:szCs w:val="24"/>
              </w:rPr>
              <w:t xml:space="preserve">ciliations </w:t>
            </w:r>
          </w:p>
        </w:tc>
        <w:tc>
          <w:tcPr>
            <w:tcW w:w="5237" w:type="dxa"/>
            <w:gridSpan w:val="2"/>
            <w:tcMar>
              <w:top w:w="180" w:type="dxa"/>
              <w:left w:w="180" w:type="dxa"/>
              <w:bottom w:w="180" w:type="dxa"/>
              <w:right w:w="180" w:type="dxa"/>
            </w:tcMar>
          </w:tcPr>
          <w:p w14:paraId="4DFAAAD0"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Creates a clean payment trail tied back to invoices, improving completeness and error detection. </w:t>
            </w:r>
          </w:p>
        </w:tc>
      </w:tr>
      <w:tr w:rsidR="00E379AF" w:rsidRPr="00A6728B" w14:paraId="738E41FE" w14:textId="77777777">
        <w:tblPrEx>
          <w:tblCellMar>
            <w:top w:w="0" w:type="dxa"/>
            <w:bottom w:w="0" w:type="dxa"/>
          </w:tblCellMar>
        </w:tblPrEx>
        <w:trPr>
          <w:gridBefore w:val="1"/>
          <w:wBefore w:w="8" w:type="dxa"/>
        </w:trPr>
        <w:tc>
          <w:tcPr>
            <w:tcW w:w="3792" w:type="dxa"/>
            <w:tcMar>
              <w:top w:w="180" w:type="dxa"/>
              <w:left w:w="180" w:type="dxa"/>
              <w:bottom w:w="180" w:type="dxa"/>
              <w:right w:w="180" w:type="dxa"/>
            </w:tcMar>
          </w:tcPr>
          <w:p w14:paraId="2557077E"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Month-end close with review </w:t>
            </w:r>
          </w:p>
        </w:tc>
        <w:tc>
          <w:tcPr>
            <w:tcW w:w="5237" w:type="dxa"/>
            <w:gridSpan w:val="2"/>
            <w:tcMar>
              <w:top w:w="180" w:type="dxa"/>
              <w:left w:w="180" w:type="dxa"/>
              <w:bottom w:w="180" w:type="dxa"/>
              <w:right w:w="180" w:type="dxa"/>
            </w:tcMar>
          </w:tcPr>
          <w:p w14:paraId="16C736CE"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Produces more reliable management accounts and improves the quality of tax estimates and cash planning. </w:t>
            </w:r>
          </w:p>
        </w:tc>
      </w:tr>
      <w:tr w:rsidR="00E379AF" w:rsidRPr="00A6728B" w14:paraId="4EBD2A08" w14:textId="77777777">
        <w:tblPrEx>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top w:w="0" w:type="dxa"/>
            <w:bottom w:w="0" w:type="dxa"/>
          </w:tblCellMar>
        </w:tblPrEx>
        <w:trPr>
          <w:gridAfter w:val="1"/>
          <w:wAfter w:w="7" w:type="dxa"/>
        </w:trPr>
        <w:tc>
          <w:tcPr>
            <w:tcW w:w="9030" w:type="dxa"/>
            <w:gridSpan w:val="3"/>
            <w:shd w:val="clear" w:color="auto" w:fill="EEF6FF"/>
            <w:tcMar>
              <w:top w:w="0" w:type="dxa"/>
              <w:left w:w="0" w:type="dxa"/>
              <w:bottom w:w="0" w:type="dxa"/>
              <w:right w:w="0" w:type="dxa"/>
            </w:tcMar>
          </w:tcPr>
          <w:p w14:paraId="3386A037" w14:textId="2F9C09DB"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Practical </w:t>
            </w:r>
            <w:r w:rsidRPr="00A6728B">
              <w:rPr>
                <w:rFonts w:ascii="Maiandra GD" w:eastAsia="Canva Sans Bold" w:hAnsi="Maiandra GD" w:cs="Canva Sans Bold"/>
                <w:b/>
                <w:bCs/>
                <w:color w:val="000000"/>
                <w:sz w:val="24"/>
                <w:szCs w:val="24"/>
              </w:rPr>
              <w:t>standard:</w:t>
            </w:r>
            <w:r w:rsidRPr="00A6728B">
              <w:rPr>
                <w:rFonts w:ascii="Maiandra GD" w:eastAsia="Canva Sans" w:hAnsi="Maiandra GD" w:cs="Canva Sans"/>
                <w:color w:val="000000"/>
                <w:sz w:val="24"/>
                <w:szCs w:val="24"/>
              </w:rPr>
              <w:br/>
              <w:t xml:space="preserve">If a transaction affects VAT or profitability, it should be traceable from source document </w:t>
            </w:r>
            <w:r w:rsidRPr="00A6728B">
              <w:rPr>
                <w:rFonts w:ascii="Arial" w:eastAsia="Canva Sans" w:hAnsi="Arial" w:cs="Arial"/>
                <w:color w:val="000000"/>
                <w:sz w:val="24"/>
                <w:szCs w:val="24"/>
              </w:rPr>
              <w:t>→</w:t>
            </w:r>
            <w:r w:rsidRPr="00A6728B">
              <w:rPr>
                <w:rFonts w:ascii="Maiandra GD" w:eastAsia="Canva Sans" w:hAnsi="Maiandra GD" w:cs="Canva Sans"/>
                <w:color w:val="000000"/>
                <w:sz w:val="24"/>
                <w:szCs w:val="24"/>
              </w:rPr>
              <w:t xml:space="preserve"> invoice/receipt </w:t>
            </w:r>
            <w:r w:rsidRPr="00A6728B">
              <w:rPr>
                <w:rFonts w:ascii="Arial" w:eastAsia="Canva Sans" w:hAnsi="Arial" w:cs="Arial"/>
                <w:color w:val="000000"/>
                <w:sz w:val="24"/>
                <w:szCs w:val="24"/>
              </w:rPr>
              <w:t>→</w:t>
            </w:r>
            <w:r w:rsidRPr="00A6728B">
              <w:rPr>
                <w:rFonts w:ascii="Maiandra GD" w:eastAsia="Canva Sans" w:hAnsi="Maiandra GD" w:cs="Canva Sans"/>
                <w:color w:val="000000"/>
                <w:sz w:val="24"/>
                <w:szCs w:val="24"/>
              </w:rPr>
              <w:t xml:space="preserve"> ledger entry </w:t>
            </w:r>
            <w:r w:rsidRPr="00A6728B">
              <w:rPr>
                <w:rFonts w:ascii="Arial" w:eastAsia="Canva Sans" w:hAnsi="Arial" w:cs="Arial"/>
                <w:color w:val="000000"/>
                <w:sz w:val="24"/>
                <w:szCs w:val="24"/>
              </w:rPr>
              <w:t>→</w:t>
            </w:r>
            <w:r w:rsidRPr="00A6728B">
              <w:rPr>
                <w:rFonts w:ascii="Maiandra GD" w:eastAsia="Canva Sans" w:hAnsi="Maiandra GD" w:cs="Canva Sans"/>
                <w:color w:val="000000"/>
                <w:sz w:val="24"/>
                <w:szCs w:val="24"/>
              </w:rPr>
              <w:t xml:space="preserve"> payment trail, with clear references between each step. </w:t>
            </w:r>
          </w:p>
        </w:tc>
      </w:tr>
    </w:tbl>
    <w:p w14:paraId="4A025CC2" w14:textId="77777777" w:rsidR="00E379AF" w:rsidRPr="00A6728B" w:rsidRDefault="00E379AF">
      <w:pPr>
        <w:pBdr>
          <w:bottom w:val="single" w:sz="6" w:space="0" w:color="BFC3C8"/>
        </w:pBdr>
        <w:spacing w:before="120" w:after="120" w:line="0" w:lineRule="auto"/>
        <w:rPr>
          <w:rFonts w:ascii="Maiandra GD" w:hAnsi="Maiandra GD"/>
          <w:sz w:val="24"/>
          <w:szCs w:val="24"/>
        </w:rPr>
      </w:pPr>
    </w:p>
    <w:p w14:paraId="57AD4EE0"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4) VAT Under </w:t>
      </w:r>
      <w:proofErr w:type="spellStart"/>
      <w:r w:rsidRPr="00A6728B">
        <w:rPr>
          <w:rFonts w:ascii="Maiandra GD" w:eastAsia="Canva Sans Bold" w:hAnsi="Maiandra GD" w:cs="Canva Sans Bold"/>
          <w:b/>
          <w:bCs/>
          <w:color w:val="000000"/>
          <w:sz w:val="24"/>
          <w:szCs w:val="24"/>
        </w:rPr>
        <w:t>eTIMS</w:t>
      </w:r>
      <w:proofErr w:type="spellEnd"/>
      <w:r w:rsidRPr="00A6728B">
        <w:rPr>
          <w:rFonts w:ascii="Maiandra GD" w:eastAsia="Canva Sans Bold" w:hAnsi="Maiandra GD" w:cs="Canva Sans Bold"/>
          <w:b/>
          <w:bCs/>
          <w:color w:val="000000"/>
          <w:sz w:val="24"/>
          <w:szCs w:val="24"/>
        </w:rPr>
        <w:t xml:space="preserve">: Where SMEs Commonly Go Wrong (and How to Control It) </w:t>
      </w:r>
    </w:p>
    <w:p w14:paraId="2EB7BD65"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VAT risk is high-frequency because it depends on repeatable execution: correct classification, compliant invoicing, and evidence that supports claims. Under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inconsistencies ca</w:t>
      </w:r>
      <w:r w:rsidRPr="00A6728B">
        <w:rPr>
          <w:rFonts w:ascii="Maiandra GD" w:eastAsia="Canva Sans" w:hAnsi="Maiandra GD" w:cs="Canva Sans"/>
          <w:color w:val="000000"/>
          <w:sz w:val="24"/>
          <w:szCs w:val="24"/>
        </w:rPr>
        <w:t xml:space="preserve">n surface faster—especially when invoice trails and ledger postings do not match. </w:t>
      </w:r>
    </w:p>
    <w:p w14:paraId="59E9933F"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VAT controls SMEs often strengthen under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include: </w:t>
      </w:r>
    </w:p>
    <w:p w14:paraId="70C2C3A2" w14:textId="77777777" w:rsidR="00E379AF" w:rsidRPr="00A6728B" w:rsidRDefault="00CB1406">
      <w:pPr>
        <w:numPr>
          <w:ilvl w:val="0"/>
          <w:numId w:val="4"/>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Input VAT evidence completeness</w:t>
      </w:r>
      <w:r w:rsidRPr="00A6728B">
        <w:rPr>
          <w:rFonts w:ascii="Maiandra GD" w:eastAsia="Canva Sans" w:hAnsi="Maiandra GD" w:cs="Canva Sans"/>
          <w:color w:val="000000"/>
          <w:sz w:val="24"/>
          <w:szCs w:val="24"/>
        </w:rPr>
        <w:t xml:space="preserve">—ensure supplier invoices/receipts are captured, validated, and stored in a way that </w:t>
      </w:r>
      <w:r w:rsidRPr="00A6728B">
        <w:rPr>
          <w:rFonts w:ascii="Maiandra GD" w:eastAsia="Canva Sans" w:hAnsi="Maiandra GD" w:cs="Canva Sans"/>
          <w:color w:val="000000"/>
          <w:sz w:val="24"/>
          <w:szCs w:val="24"/>
        </w:rPr>
        <w:t xml:space="preserve">is retrievable on demand. </w:t>
      </w:r>
    </w:p>
    <w:p w14:paraId="7AD7FF54" w14:textId="77777777" w:rsidR="00E379AF" w:rsidRPr="00A6728B" w:rsidRDefault="00CB1406">
      <w:pPr>
        <w:numPr>
          <w:ilvl w:val="0"/>
          <w:numId w:val="4"/>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Output VAT accuracy</w:t>
      </w:r>
      <w:r w:rsidRPr="00A6728B">
        <w:rPr>
          <w:rFonts w:ascii="Maiandra GD" w:eastAsia="Canva Sans" w:hAnsi="Maiandra GD" w:cs="Canva Sans"/>
          <w:color w:val="000000"/>
          <w:sz w:val="24"/>
          <w:szCs w:val="24"/>
        </w:rPr>
        <w:t xml:space="preserve">—apply consistent invoicing and credit note rules so declarations reflect commercial reality (not late corrections). </w:t>
      </w:r>
    </w:p>
    <w:p w14:paraId="4B6B45DB" w14:textId="77777777" w:rsidR="00E379AF" w:rsidRPr="00A6728B" w:rsidRDefault="00CB1406">
      <w:pPr>
        <w:numPr>
          <w:ilvl w:val="0"/>
          <w:numId w:val="4"/>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Exception logging</w:t>
      </w:r>
      <w:r w:rsidRPr="00A6728B">
        <w:rPr>
          <w:rFonts w:ascii="Maiandra GD" w:eastAsia="Canva Sans" w:hAnsi="Maiandra GD" w:cs="Canva Sans"/>
          <w:color w:val="000000"/>
          <w:sz w:val="24"/>
          <w:szCs w:val="24"/>
        </w:rPr>
        <w:t xml:space="preserve">—track mismatches (wrong VAT codes, missing documents, duplicate invoices, </w:t>
      </w:r>
      <w:r w:rsidRPr="00A6728B">
        <w:rPr>
          <w:rFonts w:ascii="Maiandra GD" w:eastAsia="Canva Sans" w:hAnsi="Maiandra GD" w:cs="Canva Sans"/>
          <w:color w:val="000000"/>
          <w:sz w:val="24"/>
          <w:szCs w:val="24"/>
        </w:rPr>
        <w:t xml:space="preserve">posting errors) and document how each was resolved. </w:t>
      </w:r>
    </w:p>
    <w:p w14:paraId="6D63C4A3" w14:textId="77777777" w:rsidR="00E379AF" w:rsidRPr="00A6728B" w:rsidRDefault="00CB1406">
      <w:pPr>
        <w:numPr>
          <w:ilvl w:val="0"/>
          <w:numId w:val="4"/>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Periodic VAT reasonableness checks</w:t>
      </w:r>
      <w:r w:rsidRPr="00A6728B">
        <w:rPr>
          <w:rFonts w:ascii="Maiandra GD" w:eastAsia="Canva Sans" w:hAnsi="Maiandra GD" w:cs="Canva Sans"/>
          <w:color w:val="000000"/>
          <w:sz w:val="24"/>
          <w:szCs w:val="24"/>
        </w:rPr>
        <w:t xml:space="preserve">—compare current period VAT to sales mix, margins, and prior periods to detect anomalies early.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E379AF" w:rsidRPr="00A6728B" w14:paraId="4B9646EF" w14:textId="77777777">
        <w:tblPrEx>
          <w:tblCellMar>
            <w:top w:w="0" w:type="dxa"/>
            <w:bottom w:w="0" w:type="dxa"/>
          </w:tblCellMar>
        </w:tblPrEx>
        <w:tc>
          <w:tcPr>
            <w:tcW w:w="9030" w:type="dxa"/>
            <w:shd w:val="clear" w:color="auto" w:fill="FFF7ED"/>
            <w:tcMar>
              <w:top w:w="0" w:type="dxa"/>
              <w:left w:w="0" w:type="dxa"/>
              <w:bottom w:w="0" w:type="dxa"/>
              <w:right w:w="0" w:type="dxa"/>
            </w:tcMar>
          </w:tcPr>
          <w:p w14:paraId="277B9881" w14:textId="1032E78F"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Risk pattern to watch:</w:t>
            </w:r>
            <w:r w:rsidRPr="00A6728B">
              <w:rPr>
                <w:rFonts w:ascii="Maiandra GD" w:eastAsia="Canva Sans" w:hAnsi="Maiandra GD" w:cs="Canva Sans"/>
                <w:color w:val="000000"/>
                <w:sz w:val="24"/>
                <w:szCs w:val="24"/>
              </w:rPr>
              <w:br/>
              <w:t>Many VAT problems are not “wrong rates.” They ar</w:t>
            </w:r>
            <w:r w:rsidRPr="00A6728B">
              <w:rPr>
                <w:rFonts w:ascii="Maiandra GD" w:eastAsia="Canva Sans" w:hAnsi="Maiandra GD" w:cs="Canva Sans"/>
                <w:color w:val="000000"/>
                <w:sz w:val="24"/>
                <w:szCs w:val="24"/>
              </w:rPr>
              <w:t xml:space="preserve">e legitimate transactions where evidence is missing, inconsistent, or not linked to the ledger and invoice trail. </w:t>
            </w:r>
          </w:p>
        </w:tc>
      </w:tr>
    </w:tbl>
    <w:p w14:paraId="5F2C0FE5" w14:textId="77777777" w:rsidR="00E379AF" w:rsidRPr="00A6728B" w:rsidRDefault="00E379AF">
      <w:pPr>
        <w:pBdr>
          <w:bottom w:val="single" w:sz="6" w:space="0" w:color="BFC3C8"/>
        </w:pBdr>
        <w:spacing w:before="120" w:after="120" w:line="0" w:lineRule="auto"/>
        <w:rPr>
          <w:rFonts w:ascii="Maiandra GD" w:hAnsi="Maiandra GD"/>
          <w:sz w:val="24"/>
          <w:szCs w:val="24"/>
        </w:rPr>
      </w:pPr>
    </w:p>
    <w:p w14:paraId="386AB290"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lastRenderedPageBreak/>
        <w:t xml:space="preserve">5) Liability Timing, Expense Governance, and Tax Planning: Why Current Books Matter </w:t>
      </w:r>
    </w:p>
    <w:p w14:paraId="70510724" w14:textId="77777777" w:rsidR="00E379AF" w:rsidRPr="00A6728B" w:rsidRDefault="00CB1406">
      <w:pPr>
        <w:spacing w:before="120" w:after="120" w:line="336" w:lineRule="auto"/>
        <w:rPr>
          <w:rFonts w:ascii="Maiandra GD" w:hAnsi="Maiandra GD"/>
          <w:sz w:val="24"/>
          <w:szCs w:val="24"/>
        </w:rPr>
      </w:pP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-ready recordkeeping supports better forecasting because liabilities become visible earlier and with more confidence. When books are current and reconciled, leadershi</w:t>
      </w:r>
      <w:r w:rsidRPr="00A6728B">
        <w:rPr>
          <w:rFonts w:ascii="Maiandra GD" w:eastAsia="Canva Sans" w:hAnsi="Maiandra GD" w:cs="Canva Sans"/>
          <w:color w:val="000000"/>
          <w:sz w:val="24"/>
          <w:szCs w:val="24"/>
        </w:rPr>
        <w:t xml:space="preserve">p can estimate VAT and tax positions with fewer surprises and better cash timing. </w:t>
      </w:r>
    </w:p>
    <w:p w14:paraId="6F8BDF32"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Key implications for SMEs: </w:t>
      </w:r>
    </w:p>
    <w:p w14:paraId="63FE6963" w14:textId="77777777" w:rsidR="00E379AF" w:rsidRPr="00A6728B" w:rsidRDefault="00CB1406">
      <w:pPr>
        <w:numPr>
          <w:ilvl w:val="0"/>
          <w:numId w:val="5"/>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Liability timing becomes clearer</w:t>
      </w:r>
      <w:r w:rsidRPr="00A6728B">
        <w:rPr>
          <w:rFonts w:ascii="Maiandra GD" w:eastAsia="Canva Sans" w:hAnsi="Maiandra GD" w:cs="Canva Sans"/>
          <w:color w:val="000000"/>
          <w:sz w:val="24"/>
          <w:szCs w:val="24"/>
        </w:rPr>
        <w:t>—VAT payable/receivable trends can be estimated before deadlines, improving cash planning and reducing last-minut</w:t>
      </w:r>
      <w:r w:rsidRPr="00A6728B">
        <w:rPr>
          <w:rFonts w:ascii="Maiandra GD" w:eastAsia="Canva Sans" w:hAnsi="Maiandra GD" w:cs="Canva Sans"/>
          <w:color w:val="000000"/>
          <w:sz w:val="24"/>
          <w:szCs w:val="24"/>
        </w:rPr>
        <w:t xml:space="preserve">e funding pressure. </w:t>
      </w:r>
    </w:p>
    <w:p w14:paraId="321DEE48" w14:textId="77777777" w:rsidR="00E379AF" w:rsidRPr="00A6728B" w:rsidRDefault="00CB1406">
      <w:pPr>
        <w:numPr>
          <w:ilvl w:val="0"/>
          <w:numId w:val="5"/>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Cut-off discipline improves accuracy</w:t>
      </w:r>
      <w:r w:rsidRPr="00A6728B">
        <w:rPr>
          <w:rFonts w:ascii="Maiandra GD" w:eastAsia="Canva Sans" w:hAnsi="Maiandra GD" w:cs="Canva Sans"/>
          <w:color w:val="000000"/>
          <w:sz w:val="24"/>
          <w:szCs w:val="24"/>
        </w:rPr>
        <w:t xml:space="preserve">—revenue and expenses are more likely to land in the correct period, reducing restatements and queries later. </w:t>
      </w:r>
    </w:p>
    <w:p w14:paraId="414B088A" w14:textId="77777777" w:rsidR="00E379AF" w:rsidRPr="00A6728B" w:rsidRDefault="00CB1406">
      <w:pPr>
        <w:numPr>
          <w:ilvl w:val="0"/>
          <w:numId w:val="5"/>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Expense governance reduces disallowances</w:t>
      </w:r>
      <w:r w:rsidRPr="00A6728B">
        <w:rPr>
          <w:rFonts w:ascii="Maiandra GD" w:eastAsia="Canva Sans" w:hAnsi="Maiandra GD" w:cs="Canva Sans"/>
          <w:color w:val="000000"/>
          <w:sz w:val="24"/>
          <w:szCs w:val="24"/>
        </w:rPr>
        <w:t>—well-defined approvals, business-purpose docume</w:t>
      </w:r>
      <w:r w:rsidRPr="00A6728B">
        <w:rPr>
          <w:rFonts w:ascii="Maiandra GD" w:eastAsia="Canva Sans" w:hAnsi="Maiandra GD" w:cs="Canva Sans"/>
          <w:color w:val="000000"/>
          <w:sz w:val="24"/>
          <w:szCs w:val="24"/>
        </w:rPr>
        <w:t xml:space="preserve">ntation, and correct coding strengthen substantiation. </w:t>
      </w:r>
    </w:p>
    <w:p w14:paraId="76935B70" w14:textId="77777777" w:rsidR="00E379AF" w:rsidRPr="00A6728B" w:rsidRDefault="00CB1406">
      <w:pPr>
        <w:numPr>
          <w:ilvl w:val="0"/>
          <w:numId w:val="5"/>
        </w:numPr>
        <w:spacing w:after="0" w:line="336" w:lineRule="auto"/>
        <w:rPr>
          <w:rFonts w:ascii="Maiandra GD" w:hAnsi="Maiandra GD"/>
          <w:sz w:val="24"/>
          <w:szCs w:val="24"/>
        </w:rPr>
      </w:pPr>
      <w:r w:rsidRPr="00A6728B">
        <w:rPr>
          <w:rFonts w:ascii="Maiandra GD" w:eastAsia="Canva Sans Bold" w:hAnsi="Maiandra GD" w:cs="Canva Sans Bold"/>
          <w:b/>
          <w:bCs/>
          <w:color w:val="000000"/>
          <w:sz w:val="24"/>
          <w:szCs w:val="24"/>
        </w:rPr>
        <w:t>Tax planning becomes more practical</w:t>
      </w:r>
      <w:r w:rsidRPr="00A6728B">
        <w:rPr>
          <w:rFonts w:ascii="Maiandra GD" w:eastAsia="Canva Sans" w:hAnsi="Maiandra GD" w:cs="Canva Sans"/>
          <w:color w:val="000000"/>
          <w:sz w:val="24"/>
          <w:szCs w:val="24"/>
        </w:rPr>
        <w:t xml:space="preserve">—planning works best when it is based on credible, reconciled numbers rather than incomplete posting and estimates.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9030"/>
      </w:tblGrid>
      <w:tr w:rsidR="00E379AF" w:rsidRPr="00A6728B" w14:paraId="29ABF656" w14:textId="77777777">
        <w:tblPrEx>
          <w:tblCellMar>
            <w:top w:w="0" w:type="dxa"/>
            <w:bottom w:w="0" w:type="dxa"/>
          </w:tblCellMar>
        </w:tblPrEx>
        <w:tc>
          <w:tcPr>
            <w:tcW w:w="9030" w:type="dxa"/>
            <w:shd w:val="clear" w:color="auto" w:fill="F0FDF4"/>
            <w:tcMar>
              <w:top w:w="0" w:type="dxa"/>
              <w:left w:w="0" w:type="dxa"/>
              <w:bottom w:w="0" w:type="dxa"/>
              <w:right w:w="0" w:type="dxa"/>
            </w:tcMar>
          </w:tcPr>
          <w:p w14:paraId="0E27D891" w14:textId="505D799E"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Good practice:</w:t>
            </w:r>
            <w:r w:rsidRPr="00A6728B">
              <w:rPr>
                <w:rFonts w:ascii="Maiandra GD" w:eastAsia="Canva Sans" w:hAnsi="Maiandra GD" w:cs="Canva Sans"/>
                <w:color w:val="000000"/>
                <w:sz w:val="24"/>
                <w:szCs w:val="24"/>
              </w:rPr>
              <w:br/>
            </w:r>
            <w:r w:rsidRPr="00A6728B">
              <w:rPr>
                <w:rFonts w:ascii="Maiandra GD" w:eastAsia="Canva Sans" w:hAnsi="Maiandra GD" w:cs="Canva Sans"/>
                <w:color w:val="000000"/>
                <w:sz w:val="24"/>
                <w:szCs w:val="24"/>
              </w:rPr>
              <w:t xml:space="preserve">Treat the month-end close as a management control—not just an accounting task. A timely close supports better VAT review, better liability forecasting, and better decision-making. </w:t>
            </w:r>
          </w:p>
        </w:tc>
      </w:tr>
    </w:tbl>
    <w:p w14:paraId="45161BE8" w14:textId="77777777" w:rsidR="00E379AF" w:rsidRPr="00A6728B" w:rsidRDefault="00E379AF">
      <w:pPr>
        <w:pBdr>
          <w:bottom w:val="single" w:sz="6" w:space="0" w:color="BFC3C8"/>
        </w:pBdr>
        <w:spacing w:before="120" w:after="120" w:line="0" w:lineRule="auto"/>
        <w:rPr>
          <w:rFonts w:ascii="Maiandra GD" w:hAnsi="Maiandra GD"/>
          <w:sz w:val="24"/>
          <w:szCs w:val="24"/>
        </w:rPr>
      </w:pPr>
    </w:p>
    <w:p w14:paraId="7C3964E0"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6) Executive Readiness Checklist: Are Your Records </w:t>
      </w:r>
      <w:proofErr w:type="spellStart"/>
      <w:r w:rsidRPr="00A6728B">
        <w:rPr>
          <w:rFonts w:ascii="Maiandra GD" w:eastAsia="Canva Sans Bold" w:hAnsi="Maiandra GD" w:cs="Canva Sans Bold"/>
          <w:b/>
          <w:bCs/>
          <w:color w:val="000000"/>
          <w:sz w:val="24"/>
          <w:szCs w:val="24"/>
        </w:rPr>
        <w:t>eTIMS</w:t>
      </w:r>
      <w:proofErr w:type="spellEnd"/>
      <w:r w:rsidRPr="00A6728B">
        <w:rPr>
          <w:rFonts w:ascii="Maiandra GD" w:eastAsia="Canva Sans Bold" w:hAnsi="Maiandra GD" w:cs="Canva Sans Bold"/>
          <w:b/>
          <w:bCs/>
          <w:color w:val="000000"/>
          <w:sz w:val="24"/>
          <w:szCs w:val="24"/>
        </w:rPr>
        <w:t xml:space="preserve">-Strong? </w:t>
      </w:r>
    </w:p>
    <w:p w14:paraId="40DFDE29"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This checklist is a practical diagnostic. Multiple “no” answers usually indicate the need for clearer standards, better routines, or improved document discipline—not simply a new tool. </w:t>
      </w:r>
    </w:p>
    <w:p w14:paraId="675A9D3D"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fldChar w:fldCharType="begin">
          <w:ffData>
            <w:name w:val=""/>
            <w:enabled/>
            <w:calcOnExit w:val="0"/>
            <w:checkBox>
              <w:size w:val="20"/>
              <w:default w:val="0"/>
            </w:checkBox>
          </w:ffData>
        </w:fldChar>
      </w:r>
      <w:r w:rsidRPr="00A6728B">
        <w:rPr>
          <w:rFonts w:ascii="Maiandra GD" w:hAnsi="Maiandra GD"/>
          <w:color w:val="000000"/>
          <w:sz w:val="24"/>
          <w:szCs w:val="24"/>
        </w:rPr>
        <w:instrText>FORM</w:instrText>
      </w:r>
      <w:r w:rsidRPr="00A6728B">
        <w:rPr>
          <w:rFonts w:ascii="Maiandra GD" w:hAnsi="Maiandra GD"/>
          <w:color w:val="000000"/>
          <w:sz w:val="24"/>
          <w:szCs w:val="24"/>
        </w:rPr>
        <w:instrText>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Invoice governance is controlled</w:t>
      </w:r>
      <w:r w:rsidRPr="00A6728B">
        <w:rPr>
          <w:rFonts w:ascii="Maiandra GD" w:eastAsia="Canva Sans" w:hAnsi="Maiandra GD" w:cs="Canva Sans"/>
          <w:color w:val="000000"/>
          <w:sz w:val="24"/>
          <w:szCs w:val="24"/>
        </w:rPr>
        <w:t xml:space="preserve">—invoice sequences are managed; credit notes/cancellations are </w:t>
      </w:r>
      <w:proofErr w:type="spellStart"/>
      <w:r w:rsidRPr="00A6728B">
        <w:rPr>
          <w:rFonts w:ascii="Maiandra GD" w:eastAsia="Canva Sans" w:hAnsi="Maiandra GD" w:cs="Canva Sans"/>
          <w:color w:val="000000"/>
          <w:sz w:val="24"/>
          <w:szCs w:val="24"/>
        </w:rPr>
        <w:t>authorised</w:t>
      </w:r>
      <w:proofErr w:type="spellEnd"/>
      <w:r w:rsidRPr="00A6728B">
        <w:rPr>
          <w:rFonts w:ascii="Maiandra GD" w:eastAsia="Canva Sans" w:hAnsi="Maiandra GD" w:cs="Canva Sans"/>
          <w:color w:val="000000"/>
          <w:sz w:val="24"/>
          <w:szCs w:val="24"/>
        </w:rPr>
        <w:t xml:space="preserve"> and traceable. </w:t>
      </w:r>
    </w:p>
    <w:p w14:paraId="1A4F1EE7"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fldChar w:fldCharType="begin">
          <w:ffData>
            <w:name w:val=""/>
            <w:enabled/>
            <w:calcOnExit w:val="0"/>
            <w:checkBox>
              <w:size w:val="20"/>
              <w:default w:val="0"/>
            </w:checkBox>
          </w:ffData>
        </w:fldChar>
      </w:r>
      <w:r w:rsidRPr="00A6728B">
        <w:rPr>
          <w:rFonts w:ascii="Maiandra GD" w:hAnsi="Maiandra GD"/>
          <w:color w:val="000000"/>
          <w:sz w:val="24"/>
          <w:szCs w:val="24"/>
        </w:rPr>
        <w:instrText>FORMCHECKBOX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 xml:space="preserve">VAT mapping is </w:t>
      </w:r>
      <w:proofErr w:type="spellStart"/>
      <w:r w:rsidRPr="00A6728B">
        <w:rPr>
          <w:rFonts w:ascii="Maiandra GD" w:eastAsia="Canva Sans Bold" w:hAnsi="Maiandra GD" w:cs="Canva Sans Bold"/>
          <w:b/>
          <w:bCs/>
          <w:color w:val="000000"/>
          <w:sz w:val="24"/>
          <w:szCs w:val="24"/>
        </w:rPr>
        <w:t>standardised</w:t>
      </w:r>
      <w:proofErr w:type="spellEnd"/>
      <w:r w:rsidRPr="00A6728B">
        <w:rPr>
          <w:rFonts w:ascii="Maiandra GD" w:eastAsia="Canva Sans" w:hAnsi="Maiandra GD" w:cs="Canva Sans"/>
          <w:color w:val="000000"/>
          <w:sz w:val="24"/>
          <w:szCs w:val="24"/>
        </w:rPr>
        <w:t xml:space="preserve">—taxable/exempt/zero-rated/non-vatable rules are defined and consistently applied. </w:t>
      </w:r>
    </w:p>
    <w:p w14:paraId="6861536A"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fldChar w:fldCharType="begin">
          <w:ffData>
            <w:name w:val=""/>
            <w:enabled/>
            <w:calcOnExit w:val="0"/>
            <w:checkBox>
              <w:size w:val="20"/>
              <w:default w:val="0"/>
            </w:checkBox>
          </w:ffData>
        </w:fldChar>
      </w:r>
      <w:r w:rsidRPr="00A6728B">
        <w:rPr>
          <w:rFonts w:ascii="Maiandra GD" w:hAnsi="Maiandra GD"/>
          <w:color w:val="000000"/>
          <w:sz w:val="24"/>
          <w:szCs w:val="24"/>
        </w:rPr>
        <w:instrText>FORMCHECKBOX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Input VAT evidence is complete</w:t>
      </w:r>
      <w:r w:rsidRPr="00A6728B">
        <w:rPr>
          <w:rFonts w:ascii="Maiandra GD" w:eastAsia="Canva Sans" w:hAnsi="Maiandra GD" w:cs="Canva Sans"/>
          <w:color w:val="000000"/>
          <w:sz w:val="24"/>
          <w:szCs w:val="24"/>
        </w:rPr>
        <w:t>—supplier invoices/receipts are captured,</w:t>
      </w:r>
      <w:r w:rsidRPr="00A6728B">
        <w:rPr>
          <w:rFonts w:ascii="Maiandra GD" w:eastAsia="Canva Sans" w:hAnsi="Maiandra GD" w:cs="Canva Sans"/>
          <w:color w:val="000000"/>
          <w:sz w:val="24"/>
          <w:szCs w:val="24"/>
        </w:rPr>
        <w:t xml:space="preserve"> validated, and retrievable. </w:t>
      </w:r>
    </w:p>
    <w:p w14:paraId="78C9FEFE"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fldChar w:fldCharType="begin">
          <w:ffData>
            <w:name w:val=""/>
            <w:enabled/>
            <w:calcOnExit w:val="0"/>
            <w:checkBox>
              <w:size w:val="20"/>
              <w:default w:val="0"/>
            </w:checkBox>
          </w:ffData>
        </w:fldChar>
      </w:r>
      <w:r w:rsidRPr="00A6728B">
        <w:rPr>
          <w:rFonts w:ascii="Maiandra GD" w:hAnsi="Maiandra GD"/>
          <w:color w:val="000000"/>
          <w:sz w:val="24"/>
          <w:szCs w:val="24"/>
        </w:rPr>
        <w:instrText>FORMCHECKBOX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Payment trails are linkable</w:t>
      </w:r>
      <w:r w:rsidRPr="00A6728B">
        <w:rPr>
          <w:rFonts w:ascii="Maiandra GD" w:eastAsia="Canva Sans" w:hAnsi="Maiandra GD" w:cs="Canva Sans"/>
          <w:color w:val="000000"/>
          <w:sz w:val="24"/>
          <w:szCs w:val="24"/>
        </w:rPr>
        <w:t xml:space="preserve">—bank and mobile money references can be tied back to invoices and ledger entries. </w:t>
      </w:r>
    </w:p>
    <w:p w14:paraId="78484F48"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lastRenderedPageBreak/>
        <w:fldChar w:fldCharType="begin">
          <w:ffData>
            <w:name w:val=""/>
            <w:enabled/>
            <w:calcOnExit w:val="0"/>
            <w:checkBox>
              <w:size w:val="20"/>
              <w:default w:val="0"/>
            </w:checkBox>
          </w:ffData>
        </w:fldChar>
      </w:r>
      <w:r w:rsidRPr="00A6728B">
        <w:rPr>
          <w:rFonts w:ascii="Maiandra GD" w:hAnsi="Maiandra GD"/>
          <w:color w:val="000000"/>
          <w:sz w:val="24"/>
          <w:szCs w:val="24"/>
        </w:rPr>
        <w:instrText>FORMCHECKBOX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Reconciliations are routine</w:t>
      </w:r>
      <w:r w:rsidRPr="00A6728B">
        <w:rPr>
          <w:rFonts w:ascii="Maiandra GD" w:eastAsia="Canva Sans" w:hAnsi="Maiandra GD" w:cs="Canva Sans"/>
          <w:color w:val="000000"/>
          <w:sz w:val="24"/>
          <w:szCs w:val="24"/>
        </w:rPr>
        <w:t xml:space="preserve">—bank/mobile money reconciliations occur on a defined schedule (monthly minimum; weekly for higher volume). </w:t>
      </w:r>
    </w:p>
    <w:p w14:paraId="0916647C"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fldChar w:fldCharType="begin">
          <w:ffData>
            <w:name w:val=""/>
            <w:enabled/>
            <w:calcOnExit w:val="0"/>
            <w:checkBox>
              <w:size w:val="20"/>
              <w:default w:val="0"/>
            </w:checkBox>
          </w:ffData>
        </w:fldChar>
      </w:r>
      <w:r w:rsidRPr="00A6728B">
        <w:rPr>
          <w:rFonts w:ascii="Maiandra GD" w:hAnsi="Maiandra GD"/>
          <w:color w:val="000000"/>
          <w:sz w:val="24"/>
          <w:szCs w:val="24"/>
        </w:rPr>
        <w:instrText>FORMCHECKBOX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Expenses are governed</w:t>
      </w:r>
      <w:r w:rsidRPr="00A6728B">
        <w:rPr>
          <w:rFonts w:ascii="Maiandra GD" w:eastAsia="Canva Sans" w:hAnsi="Maiandra GD" w:cs="Canva Sans"/>
          <w:color w:val="000000"/>
          <w:sz w:val="24"/>
          <w:szCs w:val="24"/>
        </w:rPr>
        <w:t xml:space="preserve">—approvals and documentation standards are followed; corrections happen quickly when exceptions arise. </w:t>
      </w:r>
    </w:p>
    <w:p w14:paraId="3B19AF1B"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fldChar w:fldCharType="begin">
          <w:ffData>
            <w:name w:val=""/>
            <w:enabled/>
            <w:calcOnExit w:val="0"/>
            <w:checkBox>
              <w:size w:val="20"/>
              <w:default w:val="0"/>
            </w:checkBox>
          </w:ffData>
        </w:fldChar>
      </w:r>
      <w:r w:rsidRPr="00A6728B">
        <w:rPr>
          <w:rFonts w:ascii="Maiandra GD" w:hAnsi="Maiandra GD"/>
          <w:color w:val="000000"/>
          <w:sz w:val="24"/>
          <w:szCs w:val="24"/>
        </w:rPr>
        <w:instrText>FORMCHECKBOX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Ledge</w:t>
      </w:r>
      <w:r w:rsidRPr="00A6728B">
        <w:rPr>
          <w:rFonts w:ascii="Maiandra GD" w:eastAsia="Canva Sans Bold" w:hAnsi="Maiandra GD" w:cs="Canva Sans Bold"/>
          <w:b/>
          <w:bCs/>
          <w:color w:val="000000"/>
          <w:sz w:val="24"/>
          <w:szCs w:val="24"/>
        </w:rPr>
        <w:t>rs are kept current</w:t>
      </w:r>
      <w:r w:rsidRPr="00A6728B">
        <w:rPr>
          <w:rFonts w:ascii="Maiandra GD" w:eastAsia="Canva Sans" w:hAnsi="Maiandra GD" w:cs="Canva Sans"/>
          <w:color w:val="000000"/>
          <w:sz w:val="24"/>
          <w:szCs w:val="24"/>
        </w:rPr>
        <w:t xml:space="preserve">—customer and supplier balances are reviewed and supported by invoices and payment trails. </w:t>
      </w:r>
    </w:p>
    <w:p w14:paraId="635F7247"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fldChar w:fldCharType="begin">
          <w:ffData>
            <w:name w:val=""/>
            <w:enabled/>
            <w:calcOnExit w:val="0"/>
            <w:checkBox>
              <w:size w:val="20"/>
              <w:default w:val="0"/>
            </w:checkBox>
          </w:ffData>
        </w:fldChar>
      </w:r>
      <w:r w:rsidRPr="00A6728B">
        <w:rPr>
          <w:rFonts w:ascii="Maiandra GD" w:hAnsi="Maiandra GD"/>
          <w:color w:val="000000"/>
          <w:sz w:val="24"/>
          <w:szCs w:val="24"/>
        </w:rPr>
        <w:instrText>FORMCHECKBOX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Month-end close is timely and reviewed</w:t>
      </w:r>
      <w:r w:rsidRPr="00A6728B">
        <w:rPr>
          <w:rFonts w:ascii="Maiandra GD" w:eastAsia="Canva Sans" w:hAnsi="Maiandra GD" w:cs="Canva Sans"/>
          <w:color w:val="000000"/>
          <w:sz w:val="24"/>
          <w:szCs w:val="24"/>
        </w:rPr>
        <w:t>—management accounts are produced fro</w:t>
      </w:r>
      <w:r w:rsidRPr="00A6728B">
        <w:rPr>
          <w:rFonts w:ascii="Maiandra GD" w:eastAsia="Canva Sans" w:hAnsi="Maiandra GD" w:cs="Canva Sans"/>
          <w:color w:val="000000"/>
          <w:sz w:val="24"/>
          <w:szCs w:val="24"/>
        </w:rPr>
        <w:t xml:space="preserve">m reconciled balances and checked for reasonableness. </w:t>
      </w:r>
    </w:p>
    <w:p w14:paraId="5FAFF4F8" w14:textId="77777777" w:rsidR="00E379AF" w:rsidRPr="00A6728B" w:rsidRDefault="00CB1406">
      <w:pPr>
        <w:spacing w:after="0" w:line="336" w:lineRule="auto"/>
        <w:rPr>
          <w:rFonts w:ascii="Maiandra GD" w:hAnsi="Maiandra GD"/>
          <w:sz w:val="24"/>
          <w:szCs w:val="24"/>
        </w:rPr>
      </w:pPr>
      <w:r w:rsidRPr="00A6728B">
        <w:rPr>
          <w:rFonts w:ascii="Maiandra GD" w:hAnsi="Maiandra GD"/>
          <w:color w:val="000000"/>
          <w:sz w:val="24"/>
          <w:szCs w:val="24"/>
        </w:rPr>
        <w:fldChar w:fldCharType="begin">
          <w:ffData>
            <w:name w:val=""/>
            <w:enabled/>
            <w:calcOnExit w:val="0"/>
            <w:checkBox>
              <w:size w:val="20"/>
              <w:default w:val="0"/>
            </w:checkBox>
          </w:ffData>
        </w:fldChar>
      </w:r>
      <w:r w:rsidRPr="00A6728B">
        <w:rPr>
          <w:rFonts w:ascii="Maiandra GD" w:hAnsi="Maiandra GD"/>
          <w:color w:val="000000"/>
          <w:sz w:val="24"/>
          <w:szCs w:val="24"/>
        </w:rPr>
        <w:instrText>FORMCHECKBOX</w:instrText>
      </w:r>
      <w:r w:rsidRPr="00A6728B">
        <w:rPr>
          <w:rFonts w:ascii="Maiandra GD" w:hAnsi="Maiandra GD"/>
          <w:color w:val="000000"/>
          <w:sz w:val="24"/>
          <w:szCs w:val="24"/>
        </w:rPr>
      </w:r>
      <w:r w:rsidRPr="00A6728B">
        <w:rPr>
          <w:rFonts w:ascii="Maiandra GD" w:hAnsi="Maiandra GD"/>
          <w:color w:val="000000"/>
          <w:sz w:val="24"/>
          <w:szCs w:val="24"/>
        </w:rPr>
        <w:fldChar w:fldCharType="separate"/>
      </w:r>
      <w:r w:rsidRPr="00A6728B">
        <w:rPr>
          <w:rFonts w:ascii="Maiandra GD" w:hAnsi="Maiandra GD"/>
          <w:color w:val="000000"/>
          <w:sz w:val="24"/>
          <w:szCs w:val="24"/>
        </w:rPr>
        <w:fldChar w:fldCharType="end"/>
      </w:r>
      <w:r w:rsidRPr="00A6728B">
        <w:rPr>
          <w:rFonts w:ascii="Maiandra GD" w:hAnsi="Maiandra GD"/>
          <w:sz w:val="24"/>
          <w:szCs w:val="24"/>
        </w:rPr>
        <w:t xml:space="preserve">  </w:t>
      </w:r>
      <w:r w:rsidRPr="00A6728B">
        <w:rPr>
          <w:rFonts w:ascii="Maiandra GD" w:eastAsia="Canva Sans Bold" w:hAnsi="Maiandra GD" w:cs="Canva Sans Bold"/>
          <w:b/>
          <w:bCs/>
          <w:color w:val="000000"/>
          <w:sz w:val="24"/>
          <w:szCs w:val="24"/>
        </w:rPr>
        <w:t>Liability visibility exists before deadlines</w:t>
      </w:r>
      <w:r w:rsidRPr="00A6728B">
        <w:rPr>
          <w:rFonts w:ascii="Maiandra GD" w:eastAsia="Canva Sans" w:hAnsi="Maiandra GD" w:cs="Canva Sans"/>
          <w:color w:val="000000"/>
          <w:sz w:val="24"/>
          <w:szCs w:val="24"/>
        </w:rPr>
        <w:t xml:space="preserve">—expected VAT/tax cash impacts are visible early enough to plan. </w:t>
      </w:r>
    </w:p>
    <w:p w14:paraId="7C55AC80" w14:textId="77777777" w:rsidR="00E379AF" w:rsidRPr="00A6728B" w:rsidRDefault="00E379AF">
      <w:pPr>
        <w:pBdr>
          <w:bottom w:val="single" w:sz="6" w:space="0" w:color="BFC3C8"/>
        </w:pBdr>
        <w:spacing w:before="120" w:after="120" w:line="0" w:lineRule="auto"/>
        <w:rPr>
          <w:rFonts w:ascii="Maiandra GD" w:hAnsi="Maiandra GD"/>
          <w:sz w:val="24"/>
          <w:szCs w:val="24"/>
        </w:rPr>
      </w:pPr>
    </w:p>
    <w:p w14:paraId="7DC7A59B"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Conclusion: </w:t>
      </w:r>
      <w:proofErr w:type="spellStart"/>
      <w:r w:rsidRPr="00A6728B">
        <w:rPr>
          <w:rFonts w:ascii="Maiandra GD" w:eastAsia="Canva Sans Bold" w:hAnsi="Maiandra GD" w:cs="Canva Sans Bold"/>
          <w:b/>
          <w:bCs/>
          <w:color w:val="000000"/>
          <w:sz w:val="24"/>
          <w:szCs w:val="24"/>
        </w:rPr>
        <w:t>eTIMS</w:t>
      </w:r>
      <w:proofErr w:type="spellEnd"/>
      <w:r w:rsidRPr="00A6728B">
        <w:rPr>
          <w:rFonts w:ascii="Maiandra GD" w:eastAsia="Canva Sans Bold" w:hAnsi="Maiandra GD" w:cs="Canva Sans Bold"/>
          <w:b/>
          <w:bCs/>
          <w:color w:val="000000"/>
          <w:sz w:val="24"/>
          <w:szCs w:val="24"/>
        </w:rPr>
        <w:t xml:space="preserve"> Re</w:t>
      </w:r>
      <w:r w:rsidRPr="00A6728B">
        <w:rPr>
          <w:rFonts w:ascii="Maiandra GD" w:eastAsia="Canva Sans Bold" w:hAnsi="Maiandra GD" w:cs="Canva Sans Bold"/>
          <w:b/>
          <w:bCs/>
          <w:color w:val="000000"/>
          <w:sz w:val="24"/>
          <w:szCs w:val="24"/>
        </w:rPr>
        <w:t xml:space="preserve">wards SMEs That Operate </w:t>
      </w:r>
      <w:proofErr w:type="gramStart"/>
      <w:r w:rsidRPr="00A6728B">
        <w:rPr>
          <w:rFonts w:ascii="Maiandra GD" w:eastAsia="Canva Sans Bold" w:hAnsi="Maiandra GD" w:cs="Canva Sans Bold"/>
          <w:b/>
          <w:bCs/>
          <w:color w:val="000000"/>
          <w:sz w:val="24"/>
          <w:szCs w:val="24"/>
        </w:rPr>
        <w:t>With</w:t>
      </w:r>
      <w:proofErr w:type="gramEnd"/>
      <w:r w:rsidRPr="00A6728B">
        <w:rPr>
          <w:rFonts w:ascii="Maiandra GD" w:eastAsia="Canva Sans Bold" w:hAnsi="Maiandra GD" w:cs="Canva Sans Bold"/>
          <w:b/>
          <w:bCs/>
          <w:color w:val="000000"/>
          <w:sz w:val="24"/>
          <w:szCs w:val="24"/>
        </w:rPr>
        <w:t xml:space="preserve"> Evidence-Ready Records </w:t>
      </w:r>
    </w:p>
    <w:p w14:paraId="6F2915EE"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Kenya’s </w:t>
      </w:r>
      <w:proofErr w:type="spellStart"/>
      <w:r w:rsidRPr="00A6728B">
        <w:rPr>
          <w:rFonts w:ascii="Maiandra GD" w:eastAsia="Canva Sans" w:hAnsi="Maiandra GD" w:cs="Canva Sans"/>
          <w:color w:val="000000"/>
          <w:sz w:val="24"/>
          <w:szCs w:val="24"/>
        </w:rPr>
        <w:t>eTIMS</w:t>
      </w:r>
      <w:proofErr w:type="spellEnd"/>
      <w:r w:rsidRPr="00A6728B">
        <w:rPr>
          <w:rFonts w:ascii="Maiandra GD" w:eastAsia="Canva Sans" w:hAnsi="Maiandra GD" w:cs="Canva Sans"/>
          <w:color w:val="000000"/>
          <w:sz w:val="24"/>
          <w:szCs w:val="24"/>
        </w:rPr>
        <w:t xml:space="preserve"> mandate is a compliance requirement, but it also changes the day-to-day expectations for record integrity. SMEs that maintain current books, consistent VAT treatment, routine reconciliation</w:t>
      </w:r>
      <w:r w:rsidRPr="00A6728B">
        <w:rPr>
          <w:rFonts w:ascii="Maiandra GD" w:eastAsia="Canva Sans" w:hAnsi="Maiandra GD" w:cs="Canva Sans"/>
          <w:color w:val="000000"/>
          <w:sz w:val="24"/>
          <w:szCs w:val="24"/>
        </w:rPr>
        <w:t xml:space="preserve">s, and </w:t>
      </w:r>
      <w:proofErr w:type="spellStart"/>
      <w:r w:rsidRPr="00A6728B">
        <w:rPr>
          <w:rFonts w:ascii="Maiandra GD" w:eastAsia="Canva Sans" w:hAnsi="Maiandra GD" w:cs="Canva Sans"/>
          <w:color w:val="000000"/>
          <w:sz w:val="24"/>
          <w:szCs w:val="24"/>
        </w:rPr>
        <w:t>organised</w:t>
      </w:r>
      <w:proofErr w:type="spellEnd"/>
      <w:r w:rsidRPr="00A6728B">
        <w:rPr>
          <w:rFonts w:ascii="Maiandra GD" w:eastAsia="Canva Sans" w:hAnsi="Maiandra GD" w:cs="Canva Sans"/>
          <w:color w:val="000000"/>
          <w:sz w:val="24"/>
          <w:szCs w:val="24"/>
        </w:rPr>
        <w:t xml:space="preserve"> supporting documentation are better positioned to respond to queries and reduce avoidable disputes. </w:t>
      </w:r>
    </w:p>
    <w:p w14:paraId="78D02D29" w14:textId="2D0F7532"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 xml:space="preserve">The practical takeaway is simple: </w:t>
      </w:r>
      <w:r w:rsidRPr="00A6728B">
        <w:rPr>
          <w:rFonts w:ascii="Maiandra GD" w:eastAsia="Canva Sans Bold" w:hAnsi="Maiandra GD" w:cs="Canva Sans Bold"/>
          <w:b/>
          <w:bCs/>
          <w:color w:val="000000"/>
          <w:sz w:val="24"/>
          <w:szCs w:val="24"/>
        </w:rPr>
        <w:t>strong bookkeeping is a leadership control system</w:t>
      </w:r>
      <w:r w:rsidRPr="00A6728B">
        <w:rPr>
          <w:rFonts w:ascii="Maiandra GD" w:eastAsia="Canva Sans" w:hAnsi="Maiandra GD" w:cs="Canva Sans"/>
          <w:color w:val="000000"/>
          <w:sz w:val="24"/>
          <w:szCs w:val="24"/>
        </w:rPr>
        <w:t xml:space="preserve">. It improves VAT accuracy, liability timing, expense governance, and the quality of tax planning—because decisions and filings are anchored in records that can be verified. </w:t>
      </w:r>
      <w:r w:rsidRPr="00A6728B">
        <w:rPr>
          <w:rFonts w:ascii="Maiandra GD" w:eastAsia="Canva Sans Bold" w:hAnsi="Maiandra GD" w:cs="Canva Sans Bold"/>
          <w:b/>
          <w:bCs/>
          <w:color w:val="000000"/>
          <w:sz w:val="24"/>
          <w:szCs w:val="24"/>
        </w:rPr>
        <w:t xml:space="preserve"> </w:t>
      </w:r>
    </w:p>
    <w:p w14:paraId="65617C85" w14:textId="77777777" w:rsidR="00E379AF" w:rsidRPr="00A6728B" w:rsidRDefault="00CB1406">
      <w:pPr>
        <w:spacing w:before="120" w:after="120" w:line="336" w:lineRule="auto"/>
        <w:rPr>
          <w:rFonts w:ascii="Maiandra GD" w:hAnsi="Maiandra GD"/>
          <w:sz w:val="24"/>
          <w:szCs w:val="24"/>
        </w:rPr>
      </w:pPr>
      <w:r w:rsidRPr="00A6728B">
        <w:rPr>
          <w:rFonts w:ascii="Maiandra GD" w:eastAsia="Canva Sans Bold" w:hAnsi="Maiandra GD" w:cs="Canva Sans Bold"/>
          <w:b/>
          <w:bCs/>
          <w:color w:val="000000"/>
          <w:sz w:val="24"/>
          <w:szCs w:val="24"/>
        </w:rPr>
        <w:t xml:space="preserve">Disclaimer </w:t>
      </w:r>
    </w:p>
    <w:p w14:paraId="67F2F99E" w14:textId="2273D274" w:rsidR="00E379AF" w:rsidRPr="00A6728B" w:rsidRDefault="00CB1406">
      <w:pPr>
        <w:spacing w:before="120" w:after="120" w:line="336" w:lineRule="auto"/>
        <w:rPr>
          <w:rFonts w:ascii="Maiandra GD" w:hAnsi="Maiandra GD"/>
          <w:sz w:val="24"/>
          <w:szCs w:val="24"/>
        </w:rPr>
      </w:pPr>
      <w:r w:rsidRPr="00A6728B">
        <w:rPr>
          <w:rFonts w:ascii="Maiandra GD" w:eastAsia="Canva Sans" w:hAnsi="Maiandra GD" w:cs="Canva Sans"/>
          <w:color w:val="000000"/>
          <w:sz w:val="24"/>
          <w:szCs w:val="24"/>
        </w:rPr>
        <w:t>This article is provided for general information and educational pu</w:t>
      </w:r>
      <w:r w:rsidRPr="00A6728B">
        <w:rPr>
          <w:rFonts w:ascii="Maiandra GD" w:eastAsia="Canva Sans" w:hAnsi="Maiandra GD" w:cs="Canva Sans"/>
          <w:color w:val="000000"/>
          <w:sz w:val="24"/>
          <w:szCs w:val="24"/>
        </w:rPr>
        <w:t>rposes only and does not constitute legal, tax, or accounting advice. Laws, regulations, administrative guidance, and enforcement practices may change, and their application can vary based on your facts, industry, and systems. Consider obtaining profession</w:t>
      </w:r>
      <w:r w:rsidRPr="00A6728B">
        <w:rPr>
          <w:rFonts w:ascii="Maiandra GD" w:eastAsia="Canva Sans" w:hAnsi="Maiandra GD" w:cs="Canva Sans"/>
          <w:color w:val="000000"/>
          <w:sz w:val="24"/>
          <w:szCs w:val="24"/>
        </w:rPr>
        <w:t xml:space="preserve">al advice </w:t>
      </w:r>
      <w:r w:rsidR="00A6728B">
        <w:rPr>
          <w:rFonts w:ascii="Maiandra GD" w:eastAsia="Canva Sans" w:hAnsi="Maiandra GD" w:cs="Canva Sans"/>
          <w:color w:val="000000"/>
          <w:sz w:val="24"/>
          <w:szCs w:val="24"/>
        </w:rPr>
        <w:t xml:space="preserve">from OGP Advisory Services </w:t>
      </w:r>
      <w:r w:rsidRPr="00A6728B">
        <w:rPr>
          <w:rFonts w:ascii="Maiandra GD" w:eastAsia="Canva Sans" w:hAnsi="Maiandra GD" w:cs="Canva Sans"/>
          <w:color w:val="000000"/>
          <w:sz w:val="24"/>
          <w:szCs w:val="24"/>
        </w:rPr>
        <w:t xml:space="preserve">tailored to your circumstances before acting on the information in this article. </w:t>
      </w:r>
    </w:p>
    <w:sectPr w:rsidR="00E379AF" w:rsidRPr="00A6728B">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FEC1C70D-30E7-4FDD-BD55-C934596A52F9}"/>
  </w:font>
  <w:font w:name="Maiandra GD">
    <w:panose1 w:val="020E0502030308020204"/>
    <w:charset w:val="00"/>
    <w:family w:val="swiss"/>
    <w:pitch w:val="variable"/>
    <w:sig w:usb0="00000003" w:usb1="00000000" w:usb2="00000000" w:usb3="00000000" w:csb0="00000001" w:csb1="00000000"/>
    <w:embedRegular r:id="rId2" w:fontKey="{AC969904-2FFA-461B-A780-311995F08D1B}"/>
    <w:embedBold r:id="rId3" w:fontKey="{4F7048C8-D033-433C-99E4-9B5603744026}"/>
  </w:font>
  <w:font w:name="Canva Sans Bold">
    <w:charset w:val="00"/>
    <w:family w:val="auto"/>
    <w:pitch w:val="default"/>
    <w:embedBold r:id="rId4" w:fontKey="{93192BA7-C9D8-4891-9193-1769FD0D66EA}"/>
  </w:font>
  <w:font w:name="Canva Sans">
    <w:charset w:val="00"/>
    <w:family w:val="auto"/>
    <w:pitch w:val="default"/>
    <w:embedRegular r:id="rId5" w:fontKey="{3F772055-4328-4541-BA90-76B8897D2E3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207FECB5-8FB2-4542-B6FB-F4D4BFA3AFC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F171F"/>
    <w:multiLevelType w:val="hybridMultilevel"/>
    <w:tmpl w:val="82A0C778"/>
    <w:lvl w:ilvl="0" w:tplc="DF1A9326">
      <w:start w:val="1"/>
      <w:numFmt w:val="bullet"/>
      <w:lvlText w:val=""/>
      <w:lvlJc w:val="left"/>
      <w:pPr>
        <w:ind w:left="400" w:hanging="360"/>
      </w:pPr>
      <w:rPr>
        <w:rFonts w:ascii="Symbol" w:hAnsi="Symbol"/>
      </w:rPr>
    </w:lvl>
    <w:lvl w:ilvl="1" w:tplc="B6AED48A">
      <w:start w:val="1"/>
      <w:numFmt w:val="bullet"/>
      <w:lvlText w:val="o"/>
      <w:lvlJc w:val="left"/>
      <w:pPr>
        <w:ind w:left="800" w:hanging="360"/>
      </w:pPr>
      <w:rPr>
        <w:rFonts w:ascii="Courier New" w:hAnsi="Courier New"/>
      </w:rPr>
    </w:lvl>
    <w:lvl w:ilvl="2" w:tplc="48E4A960">
      <w:start w:val="1"/>
      <w:numFmt w:val="bullet"/>
      <w:lvlText w:val=""/>
      <w:lvlJc w:val="left"/>
      <w:pPr>
        <w:ind w:left="1200" w:hanging="360"/>
      </w:pPr>
      <w:rPr>
        <w:rFonts w:ascii="Wingdings" w:hAnsi="Wingdings"/>
      </w:rPr>
    </w:lvl>
    <w:lvl w:ilvl="3" w:tplc="53D0AEE4">
      <w:start w:val="1"/>
      <w:numFmt w:val="bullet"/>
      <w:lvlText w:val=""/>
      <w:lvlJc w:val="left"/>
      <w:pPr>
        <w:ind w:left="1600" w:hanging="360"/>
      </w:pPr>
      <w:rPr>
        <w:rFonts w:ascii="Symbol" w:hAnsi="Symbol"/>
      </w:rPr>
    </w:lvl>
    <w:lvl w:ilvl="4" w:tplc="F63ACF2C">
      <w:start w:val="1"/>
      <w:numFmt w:val="bullet"/>
      <w:lvlText w:val="o"/>
      <w:lvlJc w:val="left"/>
      <w:pPr>
        <w:ind w:left="2000" w:hanging="360"/>
      </w:pPr>
      <w:rPr>
        <w:rFonts w:ascii="Courier New" w:hAnsi="Courier New"/>
      </w:rPr>
    </w:lvl>
    <w:lvl w:ilvl="5" w:tplc="7956722E">
      <w:start w:val="1"/>
      <w:numFmt w:val="bullet"/>
      <w:lvlText w:val=""/>
      <w:lvlJc w:val="left"/>
      <w:pPr>
        <w:ind w:left="2400" w:hanging="360"/>
      </w:pPr>
      <w:rPr>
        <w:rFonts w:ascii="Wingdings" w:hAnsi="Wingdings"/>
      </w:rPr>
    </w:lvl>
    <w:lvl w:ilvl="6" w:tplc="EC24EA68">
      <w:start w:val="1"/>
      <w:numFmt w:val="bullet"/>
      <w:lvlText w:val=""/>
      <w:lvlJc w:val="left"/>
      <w:pPr>
        <w:ind w:left="2800" w:hanging="360"/>
      </w:pPr>
      <w:rPr>
        <w:rFonts w:ascii="Symbol" w:hAnsi="Symbol"/>
      </w:rPr>
    </w:lvl>
    <w:lvl w:ilvl="7" w:tplc="43C8A894">
      <w:start w:val="1"/>
      <w:numFmt w:val="bullet"/>
      <w:lvlText w:val="o"/>
      <w:lvlJc w:val="left"/>
      <w:pPr>
        <w:ind w:left="3200" w:hanging="360"/>
      </w:pPr>
      <w:rPr>
        <w:rFonts w:ascii="Courier New" w:hAnsi="Courier New"/>
      </w:rPr>
    </w:lvl>
    <w:lvl w:ilvl="8" w:tplc="ABE27922">
      <w:numFmt w:val="decimal"/>
      <w:lvlText w:val=""/>
      <w:lvlJc w:val="left"/>
    </w:lvl>
  </w:abstractNum>
  <w:abstractNum w:abstractNumId="1" w15:restartNumberingAfterBreak="0">
    <w:nsid w:val="1082787F"/>
    <w:multiLevelType w:val="hybridMultilevel"/>
    <w:tmpl w:val="F15AB706"/>
    <w:lvl w:ilvl="0" w:tplc="03B8F3D4">
      <w:start w:val="1"/>
      <w:numFmt w:val="bullet"/>
      <w:lvlText w:val=""/>
      <w:lvlJc w:val="left"/>
      <w:pPr>
        <w:ind w:left="400" w:hanging="360"/>
      </w:pPr>
      <w:rPr>
        <w:rFonts w:ascii="Symbol" w:hAnsi="Symbol"/>
      </w:rPr>
    </w:lvl>
    <w:lvl w:ilvl="1" w:tplc="A9B88DC6">
      <w:start w:val="1"/>
      <w:numFmt w:val="bullet"/>
      <w:lvlText w:val="o"/>
      <w:lvlJc w:val="left"/>
      <w:pPr>
        <w:ind w:left="800" w:hanging="360"/>
      </w:pPr>
      <w:rPr>
        <w:rFonts w:ascii="Courier New" w:hAnsi="Courier New"/>
      </w:rPr>
    </w:lvl>
    <w:lvl w:ilvl="2" w:tplc="5E02F930">
      <w:start w:val="1"/>
      <w:numFmt w:val="bullet"/>
      <w:lvlText w:val=""/>
      <w:lvlJc w:val="left"/>
      <w:pPr>
        <w:ind w:left="1200" w:hanging="360"/>
      </w:pPr>
      <w:rPr>
        <w:rFonts w:ascii="Wingdings" w:hAnsi="Wingdings"/>
      </w:rPr>
    </w:lvl>
    <w:lvl w:ilvl="3" w:tplc="4D7AD61E">
      <w:start w:val="1"/>
      <w:numFmt w:val="bullet"/>
      <w:lvlText w:val=""/>
      <w:lvlJc w:val="left"/>
      <w:pPr>
        <w:ind w:left="1600" w:hanging="360"/>
      </w:pPr>
      <w:rPr>
        <w:rFonts w:ascii="Symbol" w:hAnsi="Symbol"/>
      </w:rPr>
    </w:lvl>
    <w:lvl w:ilvl="4" w:tplc="B5B09634">
      <w:start w:val="1"/>
      <w:numFmt w:val="bullet"/>
      <w:lvlText w:val="o"/>
      <w:lvlJc w:val="left"/>
      <w:pPr>
        <w:ind w:left="2000" w:hanging="360"/>
      </w:pPr>
      <w:rPr>
        <w:rFonts w:ascii="Courier New" w:hAnsi="Courier New"/>
      </w:rPr>
    </w:lvl>
    <w:lvl w:ilvl="5" w:tplc="DCB00EA8">
      <w:start w:val="1"/>
      <w:numFmt w:val="bullet"/>
      <w:lvlText w:val=""/>
      <w:lvlJc w:val="left"/>
      <w:pPr>
        <w:ind w:left="2400" w:hanging="360"/>
      </w:pPr>
      <w:rPr>
        <w:rFonts w:ascii="Wingdings" w:hAnsi="Wingdings"/>
      </w:rPr>
    </w:lvl>
    <w:lvl w:ilvl="6" w:tplc="89749B18">
      <w:start w:val="1"/>
      <w:numFmt w:val="bullet"/>
      <w:lvlText w:val=""/>
      <w:lvlJc w:val="left"/>
      <w:pPr>
        <w:ind w:left="2800" w:hanging="360"/>
      </w:pPr>
      <w:rPr>
        <w:rFonts w:ascii="Symbol" w:hAnsi="Symbol"/>
      </w:rPr>
    </w:lvl>
    <w:lvl w:ilvl="7" w:tplc="6058A8C0">
      <w:start w:val="1"/>
      <w:numFmt w:val="bullet"/>
      <w:lvlText w:val="o"/>
      <w:lvlJc w:val="left"/>
      <w:pPr>
        <w:ind w:left="3200" w:hanging="360"/>
      </w:pPr>
      <w:rPr>
        <w:rFonts w:ascii="Courier New" w:hAnsi="Courier New"/>
      </w:rPr>
    </w:lvl>
    <w:lvl w:ilvl="8" w:tplc="7A36C840">
      <w:numFmt w:val="decimal"/>
      <w:lvlText w:val=""/>
      <w:lvlJc w:val="left"/>
    </w:lvl>
  </w:abstractNum>
  <w:abstractNum w:abstractNumId="2" w15:restartNumberingAfterBreak="0">
    <w:nsid w:val="2FD70AF8"/>
    <w:multiLevelType w:val="hybridMultilevel"/>
    <w:tmpl w:val="119CF8FA"/>
    <w:lvl w:ilvl="0" w:tplc="12BC35FE">
      <w:start w:val="1"/>
      <w:numFmt w:val="bullet"/>
      <w:lvlText w:val=""/>
      <w:lvlJc w:val="left"/>
      <w:pPr>
        <w:ind w:left="400" w:hanging="360"/>
      </w:pPr>
      <w:rPr>
        <w:rFonts w:ascii="Symbol" w:hAnsi="Symbol"/>
      </w:rPr>
    </w:lvl>
    <w:lvl w:ilvl="1" w:tplc="9DF2CE22">
      <w:start w:val="1"/>
      <w:numFmt w:val="bullet"/>
      <w:lvlText w:val="o"/>
      <w:lvlJc w:val="left"/>
      <w:pPr>
        <w:ind w:left="800" w:hanging="360"/>
      </w:pPr>
      <w:rPr>
        <w:rFonts w:ascii="Courier New" w:hAnsi="Courier New"/>
      </w:rPr>
    </w:lvl>
    <w:lvl w:ilvl="2" w:tplc="694E6148">
      <w:start w:val="1"/>
      <w:numFmt w:val="bullet"/>
      <w:lvlText w:val=""/>
      <w:lvlJc w:val="left"/>
      <w:pPr>
        <w:ind w:left="1200" w:hanging="360"/>
      </w:pPr>
      <w:rPr>
        <w:rFonts w:ascii="Wingdings" w:hAnsi="Wingdings"/>
      </w:rPr>
    </w:lvl>
    <w:lvl w:ilvl="3" w:tplc="6C0EB730">
      <w:start w:val="1"/>
      <w:numFmt w:val="bullet"/>
      <w:lvlText w:val=""/>
      <w:lvlJc w:val="left"/>
      <w:pPr>
        <w:ind w:left="1600" w:hanging="360"/>
      </w:pPr>
      <w:rPr>
        <w:rFonts w:ascii="Symbol" w:hAnsi="Symbol"/>
      </w:rPr>
    </w:lvl>
    <w:lvl w:ilvl="4" w:tplc="1ED89D22">
      <w:start w:val="1"/>
      <w:numFmt w:val="bullet"/>
      <w:lvlText w:val="o"/>
      <w:lvlJc w:val="left"/>
      <w:pPr>
        <w:ind w:left="2000" w:hanging="360"/>
      </w:pPr>
      <w:rPr>
        <w:rFonts w:ascii="Courier New" w:hAnsi="Courier New"/>
      </w:rPr>
    </w:lvl>
    <w:lvl w:ilvl="5" w:tplc="CAB62862">
      <w:start w:val="1"/>
      <w:numFmt w:val="bullet"/>
      <w:lvlText w:val=""/>
      <w:lvlJc w:val="left"/>
      <w:pPr>
        <w:ind w:left="2400" w:hanging="360"/>
      </w:pPr>
      <w:rPr>
        <w:rFonts w:ascii="Wingdings" w:hAnsi="Wingdings"/>
      </w:rPr>
    </w:lvl>
    <w:lvl w:ilvl="6" w:tplc="A4362F70">
      <w:start w:val="1"/>
      <w:numFmt w:val="bullet"/>
      <w:lvlText w:val=""/>
      <w:lvlJc w:val="left"/>
      <w:pPr>
        <w:ind w:left="2800" w:hanging="360"/>
      </w:pPr>
      <w:rPr>
        <w:rFonts w:ascii="Symbol" w:hAnsi="Symbol"/>
      </w:rPr>
    </w:lvl>
    <w:lvl w:ilvl="7" w:tplc="490A5AD8">
      <w:start w:val="1"/>
      <w:numFmt w:val="bullet"/>
      <w:lvlText w:val="o"/>
      <w:lvlJc w:val="left"/>
      <w:pPr>
        <w:ind w:left="3200" w:hanging="360"/>
      </w:pPr>
      <w:rPr>
        <w:rFonts w:ascii="Courier New" w:hAnsi="Courier New"/>
      </w:rPr>
    </w:lvl>
    <w:lvl w:ilvl="8" w:tplc="6EF8986C">
      <w:numFmt w:val="decimal"/>
      <w:lvlText w:val=""/>
      <w:lvlJc w:val="left"/>
    </w:lvl>
  </w:abstractNum>
  <w:abstractNum w:abstractNumId="3" w15:restartNumberingAfterBreak="0">
    <w:nsid w:val="55DB7915"/>
    <w:multiLevelType w:val="hybridMultilevel"/>
    <w:tmpl w:val="C19E52A0"/>
    <w:lvl w:ilvl="0" w:tplc="2E2466D4">
      <w:start w:val="1"/>
      <w:numFmt w:val="bullet"/>
      <w:lvlText w:val=""/>
      <w:lvlJc w:val="left"/>
      <w:pPr>
        <w:ind w:left="400" w:hanging="360"/>
      </w:pPr>
      <w:rPr>
        <w:rFonts w:ascii="Symbol" w:hAnsi="Symbol"/>
      </w:rPr>
    </w:lvl>
    <w:lvl w:ilvl="1" w:tplc="56C05744">
      <w:start w:val="1"/>
      <w:numFmt w:val="bullet"/>
      <w:lvlText w:val="o"/>
      <w:lvlJc w:val="left"/>
      <w:pPr>
        <w:ind w:left="800" w:hanging="360"/>
      </w:pPr>
      <w:rPr>
        <w:rFonts w:ascii="Courier New" w:hAnsi="Courier New"/>
      </w:rPr>
    </w:lvl>
    <w:lvl w:ilvl="2" w:tplc="30A6E170">
      <w:start w:val="1"/>
      <w:numFmt w:val="bullet"/>
      <w:lvlText w:val=""/>
      <w:lvlJc w:val="left"/>
      <w:pPr>
        <w:ind w:left="1200" w:hanging="360"/>
      </w:pPr>
      <w:rPr>
        <w:rFonts w:ascii="Wingdings" w:hAnsi="Wingdings"/>
      </w:rPr>
    </w:lvl>
    <w:lvl w:ilvl="3" w:tplc="11E0FE5C">
      <w:start w:val="1"/>
      <w:numFmt w:val="bullet"/>
      <w:lvlText w:val=""/>
      <w:lvlJc w:val="left"/>
      <w:pPr>
        <w:ind w:left="1600" w:hanging="360"/>
      </w:pPr>
      <w:rPr>
        <w:rFonts w:ascii="Symbol" w:hAnsi="Symbol"/>
      </w:rPr>
    </w:lvl>
    <w:lvl w:ilvl="4" w:tplc="940290B8">
      <w:start w:val="1"/>
      <w:numFmt w:val="bullet"/>
      <w:lvlText w:val="o"/>
      <w:lvlJc w:val="left"/>
      <w:pPr>
        <w:ind w:left="2000" w:hanging="360"/>
      </w:pPr>
      <w:rPr>
        <w:rFonts w:ascii="Courier New" w:hAnsi="Courier New"/>
      </w:rPr>
    </w:lvl>
    <w:lvl w:ilvl="5" w:tplc="50BCB6FC">
      <w:start w:val="1"/>
      <w:numFmt w:val="bullet"/>
      <w:lvlText w:val=""/>
      <w:lvlJc w:val="left"/>
      <w:pPr>
        <w:ind w:left="2400" w:hanging="360"/>
      </w:pPr>
      <w:rPr>
        <w:rFonts w:ascii="Wingdings" w:hAnsi="Wingdings"/>
      </w:rPr>
    </w:lvl>
    <w:lvl w:ilvl="6" w:tplc="802827A0">
      <w:start w:val="1"/>
      <w:numFmt w:val="bullet"/>
      <w:lvlText w:val=""/>
      <w:lvlJc w:val="left"/>
      <w:pPr>
        <w:ind w:left="2800" w:hanging="360"/>
      </w:pPr>
      <w:rPr>
        <w:rFonts w:ascii="Symbol" w:hAnsi="Symbol"/>
      </w:rPr>
    </w:lvl>
    <w:lvl w:ilvl="7" w:tplc="95A8C720">
      <w:start w:val="1"/>
      <w:numFmt w:val="bullet"/>
      <w:lvlText w:val="o"/>
      <w:lvlJc w:val="left"/>
      <w:pPr>
        <w:ind w:left="3200" w:hanging="360"/>
      </w:pPr>
      <w:rPr>
        <w:rFonts w:ascii="Courier New" w:hAnsi="Courier New"/>
      </w:rPr>
    </w:lvl>
    <w:lvl w:ilvl="8" w:tplc="C0B4303E">
      <w:numFmt w:val="decimal"/>
      <w:lvlText w:val=""/>
      <w:lvlJc w:val="left"/>
    </w:lvl>
  </w:abstractNum>
  <w:abstractNum w:abstractNumId="4" w15:restartNumberingAfterBreak="0">
    <w:nsid w:val="66B0301B"/>
    <w:multiLevelType w:val="hybridMultilevel"/>
    <w:tmpl w:val="80C6B884"/>
    <w:lvl w:ilvl="0" w:tplc="0E86A004">
      <w:start w:val="1"/>
      <w:numFmt w:val="bullet"/>
      <w:lvlText w:val=""/>
      <w:lvlJc w:val="left"/>
      <w:pPr>
        <w:ind w:left="400" w:hanging="360"/>
      </w:pPr>
      <w:rPr>
        <w:rFonts w:ascii="Symbol" w:hAnsi="Symbol"/>
      </w:rPr>
    </w:lvl>
    <w:lvl w:ilvl="1" w:tplc="68167F6E">
      <w:start w:val="1"/>
      <w:numFmt w:val="bullet"/>
      <w:lvlText w:val="o"/>
      <w:lvlJc w:val="left"/>
      <w:pPr>
        <w:ind w:left="800" w:hanging="360"/>
      </w:pPr>
      <w:rPr>
        <w:rFonts w:ascii="Courier New" w:hAnsi="Courier New"/>
      </w:rPr>
    </w:lvl>
    <w:lvl w:ilvl="2" w:tplc="3F1A2D24">
      <w:start w:val="1"/>
      <w:numFmt w:val="bullet"/>
      <w:lvlText w:val=""/>
      <w:lvlJc w:val="left"/>
      <w:pPr>
        <w:ind w:left="1200" w:hanging="360"/>
      </w:pPr>
      <w:rPr>
        <w:rFonts w:ascii="Wingdings" w:hAnsi="Wingdings"/>
      </w:rPr>
    </w:lvl>
    <w:lvl w:ilvl="3" w:tplc="414C604A">
      <w:start w:val="1"/>
      <w:numFmt w:val="bullet"/>
      <w:lvlText w:val=""/>
      <w:lvlJc w:val="left"/>
      <w:pPr>
        <w:ind w:left="1600" w:hanging="360"/>
      </w:pPr>
      <w:rPr>
        <w:rFonts w:ascii="Symbol" w:hAnsi="Symbol"/>
      </w:rPr>
    </w:lvl>
    <w:lvl w:ilvl="4" w:tplc="538CB7B8">
      <w:start w:val="1"/>
      <w:numFmt w:val="bullet"/>
      <w:lvlText w:val="o"/>
      <w:lvlJc w:val="left"/>
      <w:pPr>
        <w:ind w:left="2000" w:hanging="360"/>
      </w:pPr>
      <w:rPr>
        <w:rFonts w:ascii="Courier New" w:hAnsi="Courier New"/>
      </w:rPr>
    </w:lvl>
    <w:lvl w:ilvl="5" w:tplc="82EAB4A2">
      <w:start w:val="1"/>
      <w:numFmt w:val="bullet"/>
      <w:lvlText w:val=""/>
      <w:lvlJc w:val="left"/>
      <w:pPr>
        <w:ind w:left="2400" w:hanging="360"/>
      </w:pPr>
      <w:rPr>
        <w:rFonts w:ascii="Wingdings" w:hAnsi="Wingdings"/>
      </w:rPr>
    </w:lvl>
    <w:lvl w:ilvl="6" w:tplc="585C301C">
      <w:start w:val="1"/>
      <w:numFmt w:val="bullet"/>
      <w:lvlText w:val=""/>
      <w:lvlJc w:val="left"/>
      <w:pPr>
        <w:ind w:left="2800" w:hanging="360"/>
      </w:pPr>
      <w:rPr>
        <w:rFonts w:ascii="Symbol" w:hAnsi="Symbol"/>
      </w:rPr>
    </w:lvl>
    <w:lvl w:ilvl="7" w:tplc="067E7ABC">
      <w:start w:val="1"/>
      <w:numFmt w:val="bullet"/>
      <w:lvlText w:val="o"/>
      <w:lvlJc w:val="left"/>
      <w:pPr>
        <w:ind w:left="3200" w:hanging="360"/>
      </w:pPr>
      <w:rPr>
        <w:rFonts w:ascii="Courier New" w:hAnsi="Courier New"/>
      </w:rPr>
    </w:lvl>
    <w:lvl w:ilvl="8" w:tplc="DF6273AC">
      <w:numFmt w:val="decimal"/>
      <w:lvlText w:val=""/>
      <w:lvlJc w:val="left"/>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9AF"/>
    <w:rsid w:val="00A6728B"/>
    <w:rsid w:val="00CB1406"/>
    <w:rsid w:val="00E37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D799D"/>
  <w15:docId w15:val="{09531FF6-89BB-4E82-BB1B-07B8FAC4F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1572</Words>
  <Characters>8961</Characters>
  <Application>Microsoft Office Word</Application>
  <DocSecurity>0</DocSecurity>
  <Lines>74</Lines>
  <Paragraphs>21</Paragraphs>
  <ScaleCrop>false</ScaleCrop>
  <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Planning Flyer for A+ Bookkeeping</dc:title>
  <dc:creator>Apache POI</dc:creator>
  <cp:lastModifiedBy>Joshua Musila</cp:lastModifiedBy>
  <cp:revision>2</cp:revision>
  <dcterms:created xsi:type="dcterms:W3CDTF">2026-08-24T10:43:00Z</dcterms:created>
  <dcterms:modified xsi:type="dcterms:W3CDTF">2026-08-24T10:43:00Z</dcterms:modified>
</cp:coreProperties>
</file>